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32" w:rsidRDefault="00ED3C32" w:rsidP="00ED3C32">
      <w:pPr>
        <w:spacing w:line="240" w:lineRule="atLeast"/>
        <w:jc w:val="center"/>
        <w:rPr>
          <w:rFonts w:ascii="標楷體" w:hAnsi="標楷體"/>
          <w:sz w:val="36"/>
        </w:rPr>
      </w:pPr>
      <w:r>
        <w:rPr>
          <w:rFonts w:ascii="標楷體" w:hAnsi="標楷體" w:hint="eastAsia"/>
          <w:sz w:val="36"/>
        </w:rPr>
        <w:t xml:space="preserve">國立高雄科技大學(第一校區) </w:t>
      </w:r>
      <w:r w:rsidRPr="00F34EFD">
        <w:rPr>
          <w:rFonts w:ascii="標楷體" w:hAnsi="標楷體" w:hint="eastAsia"/>
          <w:b/>
          <w:sz w:val="36"/>
          <w:szCs w:val="36"/>
          <w:u w:val="single"/>
        </w:rPr>
        <w:t>工學院工程科技博士班</w:t>
      </w:r>
    </w:p>
    <w:p w:rsidR="000B26C1" w:rsidRPr="00F8340F" w:rsidRDefault="00C322EE" w:rsidP="00ED3C32">
      <w:pPr>
        <w:spacing w:line="360" w:lineRule="auto"/>
        <w:jc w:val="center"/>
        <w:rPr>
          <w:rFonts w:ascii="標楷體" w:hAnsi="標楷體"/>
          <w:color w:val="000000" w:themeColor="text1"/>
          <w:szCs w:val="28"/>
        </w:rPr>
      </w:pPr>
      <w:r>
        <w:rPr>
          <w:rFonts w:ascii="標楷體" w:hAnsi="標楷體" w:hint="eastAsia"/>
          <w:sz w:val="32"/>
          <w:szCs w:val="32"/>
        </w:rPr>
        <w:t>甲組(</w:t>
      </w:r>
      <w:r w:rsidR="000B26C1" w:rsidRPr="00F8340F">
        <w:rPr>
          <w:rFonts w:ascii="標楷體" w:hAnsi="標楷體" w:hint="eastAsia"/>
          <w:sz w:val="32"/>
          <w:szCs w:val="32"/>
        </w:rPr>
        <w:t>電腦與通訊</w:t>
      </w:r>
      <w:r w:rsidR="00EB473E">
        <w:rPr>
          <w:rFonts w:ascii="標楷體" w:hAnsi="標楷體" w:hint="eastAsia"/>
          <w:sz w:val="32"/>
          <w:szCs w:val="32"/>
        </w:rPr>
        <w:t>工程</w:t>
      </w:r>
      <w:bookmarkStart w:id="0" w:name="_GoBack"/>
      <w:bookmarkEnd w:id="0"/>
      <w:r w:rsidR="000B26C1" w:rsidRPr="00F8340F">
        <w:rPr>
          <w:rFonts w:ascii="標楷體" w:hAnsi="標楷體" w:hint="eastAsia"/>
          <w:sz w:val="32"/>
          <w:szCs w:val="32"/>
        </w:rPr>
        <w:t>組</w:t>
      </w:r>
      <w:r>
        <w:rPr>
          <w:rFonts w:ascii="標楷體" w:hAnsi="標楷體" w:hint="eastAsia"/>
          <w:sz w:val="32"/>
          <w:szCs w:val="32"/>
        </w:rPr>
        <w:t>)</w:t>
      </w:r>
      <w:r w:rsidR="000B26C1" w:rsidRPr="00F8340F">
        <w:rPr>
          <w:rFonts w:ascii="標楷體" w:hAnsi="標楷體" w:hint="eastAsia"/>
          <w:sz w:val="32"/>
          <w:szCs w:val="32"/>
        </w:rPr>
        <w:t>博士生修</w:t>
      </w:r>
      <w:r w:rsidR="000B26C1" w:rsidRPr="00F8340F">
        <w:rPr>
          <w:rFonts w:ascii="標楷體" w:hAnsi="標楷體" w:hint="eastAsia"/>
          <w:color w:val="000000" w:themeColor="text1"/>
          <w:sz w:val="32"/>
          <w:szCs w:val="32"/>
        </w:rPr>
        <w:t>業規定</w:t>
      </w:r>
      <w:r w:rsidR="000B26C1" w:rsidRPr="00F8340F">
        <w:rPr>
          <w:rFonts w:ascii="標楷體" w:hAnsi="標楷體" w:hint="eastAsia"/>
          <w:color w:val="000000" w:themeColor="text1"/>
          <w:szCs w:val="28"/>
        </w:rPr>
        <w:t>(</w:t>
      </w:r>
      <w:r w:rsidR="00A121AE" w:rsidRPr="00F8340F">
        <w:rPr>
          <w:rFonts w:ascii="標楷體" w:hAnsi="標楷體" w:hint="eastAsia"/>
          <w:color w:val="000000" w:themeColor="text1"/>
          <w:szCs w:val="28"/>
        </w:rPr>
        <w:t>適用10</w:t>
      </w:r>
      <w:r w:rsidR="003B4DCA">
        <w:rPr>
          <w:rFonts w:ascii="標楷體" w:hAnsi="標楷體" w:hint="eastAsia"/>
          <w:color w:val="000000" w:themeColor="text1"/>
          <w:szCs w:val="28"/>
        </w:rPr>
        <w:t>8</w:t>
      </w:r>
      <w:r w:rsidR="00A121AE" w:rsidRPr="00F8340F">
        <w:rPr>
          <w:rFonts w:ascii="標楷體" w:hAnsi="標楷體" w:hint="eastAsia"/>
          <w:color w:val="000000" w:themeColor="text1"/>
          <w:szCs w:val="28"/>
        </w:rPr>
        <w:t>學年度在學學生</w:t>
      </w:r>
      <w:r w:rsidR="000B26C1" w:rsidRPr="00F8340F">
        <w:rPr>
          <w:rFonts w:ascii="標楷體" w:hAnsi="標楷體" w:hint="eastAsia"/>
          <w:color w:val="000000" w:themeColor="text1"/>
          <w:szCs w:val="28"/>
        </w:rPr>
        <w:t>)</w:t>
      </w:r>
    </w:p>
    <w:p w:rsidR="00A121AE" w:rsidRPr="00F8340F" w:rsidRDefault="00F8340F" w:rsidP="00A121AE">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w:t>
      </w:r>
      <w:r w:rsidRPr="00F8340F">
        <w:rPr>
          <w:rFonts w:ascii="Times" w:hAnsi="Times" w:hint="eastAsia"/>
          <w:color w:val="000000" w:themeColor="text1"/>
          <w:sz w:val="20"/>
        </w:rPr>
        <w:t>略</w:t>
      </w:r>
    </w:p>
    <w:p w:rsidR="00093436" w:rsidRPr="00F8340F" w:rsidRDefault="00093436" w:rsidP="00093436">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7</w:t>
      </w:r>
      <w:r w:rsidRPr="00F8340F">
        <w:rPr>
          <w:rFonts w:ascii="Times" w:hAnsi="Times"/>
          <w:color w:val="000000" w:themeColor="text1"/>
          <w:sz w:val="20"/>
        </w:rPr>
        <w:t>次電通系務會議修正通過</w:t>
      </w:r>
      <w:r w:rsidRPr="00F8340F">
        <w:rPr>
          <w:rFonts w:ascii="Times" w:hAnsi="Times"/>
          <w:color w:val="000000" w:themeColor="text1"/>
          <w:sz w:val="20"/>
        </w:rPr>
        <w:t>(106.</w:t>
      </w:r>
      <w:r w:rsidRPr="00F8340F">
        <w:rPr>
          <w:rFonts w:ascii="Times" w:hAnsi="Times" w:hint="eastAsia"/>
          <w:color w:val="000000" w:themeColor="text1"/>
          <w:sz w:val="20"/>
        </w:rPr>
        <w:t>10</w:t>
      </w:r>
      <w:r w:rsidRPr="00F8340F">
        <w:rPr>
          <w:rFonts w:ascii="Times" w:hAnsi="Times"/>
          <w:color w:val="000000" w:themeColor="text1"/>
          <w:sz w:val="20"/>
        </w:rPr>
        <w:t>.3</w:t>
      </w:r>
      <w:r w:rsidRPr="00F8340F">
        <w:rPr>
          <w:rFonts w:ascii="Times" w:hAnsi="Times" w:hint="eastAsia"/>
          <w:color w:val="000000" w:themeColor="text1"/>
          <w:sz w:val="20"/>
        </w:rPr>
        <w:t>1</w:t>
      </w:r>
      <w:r w:rsidRPr="00F8340F">
        <w:rPr>
          <w:rFonts w:ascii="Times" w:hAnsi="Times"/>
          <w:color w:val="000000" w:themeColor="text1"/>
          <w:sz w:val="20"/>
        </w:rPr>
        <w:t xml:space="preserve"> )</w:t>
      </w:r>
    </w:p>
    <w:p w:rsidR="00CA53B6" w:rsidRPr="00F8340F" w:rsidRDefault="00CA53B6" w:rsidP="00CA53B6">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9</w:t>
      </w:r>
      <w:r w:rsidRPr="00F8340F">
        <w:rPr>
          <w:rFonts w:ascii="Times" w:hAnsi="Times"/>
          <w:color w:val="000000" w:themeColor="text1"/>
          <w:sz w:val="20"/>
        </w:rPr>
        <w:t>次電通系務會議修正通過</w:t>
      </w:r>
      <w:r w:rsidRPr="00F8340F">
        <w:rPr>
          <w:rFonts w:ascii="Times" w:hAnsi="Times"/>
          <w:color w:val="000000" w:themeColor="text1"/>
          <w:sz w:val="20"/>
        </w:rPr>
        <w:t>(106.</w:t>
      </w:r>
      <w:r w:rsidRPr="00F8340F">
        <w:rPr>
          <w:rFonts w:ascii="Times" w:hAnsi="Times" w:hint="eastAsia"/>
          <w:color w:val="000000" w:themeColor="text1"/>
          <w:sz w:val="20"/>
        </w:rPr>
        <w:t>11</w:t>
      </w:r>
      <w:r w:rsidRPr="00F8340F">
        <w:rPr>
          <w:rFonts w:ascii="Times" w:hAnsi="Times"/>
          <w:color w:val="000000" w:themeColor="text1"/>
          <w:sz w:val="20"/>
        </w:rPr>
        <w:t>.</w:t>
      </w:r>
      <w:r w:rsidRPr="00F8340F">
        <w:rPr>
          <w:rFonts w:ascii="Times" w:hAnsi="Times" w:hint="eastAsia"/>
          <w:color w:val="000000" w:themeColor="text1"/>
          <w:sz w:val="20"/>
        </w:rPr>
        <w:t>16</w:t>
      </w:r>
      <w:r w:rsidRPr="00F8340F">
        <w:rPr>
          <w:rFonts w:ascii="Times" w:hAnsi="Times"/>
          <w:color w:val="000000" w:themeColor="text1"/>
          <w:sz w:val="20"/>
        </w:rPr>
        <w:t xml:space="preserve"> )</w:t>
      </w:r>
    </w:p>
    <w:p w:rsidR="00CC5A3E" w:rsidRPr="00F8340F" w:rsidRDefault="00CC5A3E" w:rsidP="00CC5A3E">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2</w:t>
      </w:r>
      <w:r w:rsidRPr="00F8340F">
        <w:rPr>
          <w:rFonts w:ascii="Times" w:hAnsi="Times"/>
          <w:color w:val="000000" w:themeColor="text1"/>
          <w:sz w:val="20"/>
        </w:rPr>
        <w:t>次工科博士班班務會議修正通過</w:t>
      </w:r>
      <w:r w:rsidRPr="00F8340F">
        <w:rPr>
          <w:rFonts w:ascii="Times" w:hAnsi="Times"/>
          <w:color w:val="000000" w:themeColor="text1"/>
          <w:sz w:val="20"/>
        </w:rPr>
        <w:t>(106.</w:t>
      </w:r>
      <w:r w:rsidRPr="00F8340F">
        <w:rPr>
          <w:rFonts w:ascii="Times" w:hAnsi="Times" w:hint="eastAsia"/>
          <w:color w:val="000000" w:themeColor="text1"/>
          <w:sz w:val="20"/>
        </w:rPr>
        <w:t>12</w:t>
      </w:r>
      <w:r w:rsidRPr="00F8340F">
        <w:rPr>
          <w:rFonts w:ascii="Times" w:hAnsi="Times"/>
          <w:color w:val="000000" w:themeColor="text1"/>
          <w:sz w:val="20"/>
        </w:rPr>
        <w:t>.</w:t>
      </w:r>
      <w:r w:rsidRPr="00F8340F">
        <w:rPr>
          <w:rFonts w:ascii="Times" w:hAnsi="Times" w:hint="eastAsia"/>
          <w:color w:val="000000" w:themeColor="text1"/>
          <w:sz w:val="20"/>
        </w:rPr>
        <w:t>12</w:t>
      </w:r>
      <w:r w:rsidRPr="00F8340F">
        <w:rPr>
          <w:rFonts w:ascii="Times" w:hAnsi="Times"/>
          <w:color w:val="000000" w:themeColor="text1"/>
          <w:sz w:val="20"/>
        </w:rPr>
        <w:t>)</w:t>
      </w:r>
    </w:p>
    <w:p w:rsidR="00A121AE" w:rsidRPr="00CC5A3E" w:rsidRDefault="00A121AE" w:rsidP="000B26C1">
      <w:pPr>
        <w:tabs>
          <w:tab w:val="right" w:pos="9900"/>
        </w:tabs>
        <w:spacing w:after="0" w:line="240" w:lineRule="atLeast"/>
        <w:ind w:rightChars="15" w:right="42"/>
        <w:jc w:val="right"/>
        <w:rPr>
          <w:rFonts w:ascii="標楷體" w:hAnsi="標楷體"/>
          <w:color w:val="FF0000"/>
          <w:sz w:val="20"/>
        </w:rPr>
      </w:pPr>
    </w:p>
    <w:p w:rsidR="000B26C1" w:rsidRDefault="000B26C1" w:rsidP="000B26C1">
      <w:pPr>
        <w:spacing w:line="360" w:lineRule="auto"/>
        <w:rPr>
          <w:rFonts w:ascii="標楷體" w:hAnsi="標楷體"/>
          <w:b/>
          <w:bCs/>
          <w:sz w:val="22"/>
          <w:szCs w:val="22"/>
        </w:rPr>
      </w:pPr>
      <w:r>
        <w:rPr>
          <w:rFonts w:ascii="標楷體" w:hAnsi="標楷體" w:hint="eastAsia"/>
          <w:b/>
          <w:bCs/>
          <w:sz w:val="22"/>
          <w:szCs w:val="22"/>
        </w:rPr>
        <w:t>一、修業年限為二至七年。</w:t>
      </w:r>
    </w:p>
    <w:p w:rsidR="000B26C1" w:rsidRDefault="000B26C1" w:rsidP="000B26C1">
      <w:pPr>
        <w:spacing w:line="360" w:lineRule="auto"/>
        <w:outlineLvl w:val="0"/>
        <w:rPr>
          <w:rFonts w:ascii="標楷體" w:hAnsi="標楷體"/>
          <w:b/>
          <w:bCs/>
          <w:sz w:val="22"/>
          <w:szCs w:val="22"/>
        </w:rPr>
      </w:pPr>
      <w:r>
        <w:rPr>
          <w:rFonts w:ascii="標楷體" w:hAnsi="標楷體" w:hint="eastAsia"/>
          <w:b/>
          <w:bCs/>
          <w:sz w:val="22"/>
          <w:szCs w:val="22"/>
        </w:rPr>
        <w:t xml:space="preserve">二、課程修讀： </w:t>
      </w:r>
    </w:p>
    <w:p w:rsidR="000B26C1" w:rsidRPr="00A66ED1" w:rsidRDefault="000B26C1" w:rsidP="000B26C1">
      <w:pPr>
        <w:ind w:leftChars="157" w:left="678" w:rightChars="47" w:right="132" w:hangingChars="108" w:hanging="238"/>
        <w:jc w:val="both"/>
      </w:pPr>
      <w:r w:rsidRPr="00A66ED1">
        <w:rPr>
          <w:sz w:val="22"/>
          <w:szCs w:val="22"/>
        </w:rPr>
        <w:t>1.</w:t>
      </w:r>
      <w:r w:rsidRPr="00A66ED1">
        <w:t>本組博士生畢業之前必須修滿本校開授專業課程十八學分</w:t>
      </w:r>
      <w:r w:rsidRPr="00A66ED1">
        <w:t>(</w:t>
      </w:r>
      <w:r w:rsidRPr="00A66ED1">
        <w:t>含</w:t>
      </w:r>
      <w:r w:rsidRPr="00A66ED1">
        <w:t>)</w:t>
      </w:r>
      <w:r w:rsidRPr="00A66ED1">
        <w:t>以上</w:t>
      </w:r>
      <w:r w:rsidRPr="00A66ED1">
        <w:t>(</w:t>
      </w:r>
      <w:r w:rsidRPr="00A66ED1">
        <w:t>不含專題、專題討論及論文，學分數另計</w:t>
      </w:r>
      <w:r w:rsidRPr="00A66ED1">
        <w:t>)</w:t>
      </w:r>
      <w:r w:rsidRPr="00A66ED1">
        <w:t>，其中至少需修本組開授課程十五學分以上，其餘課程經本組同意後，得選修本校各研究所博士班開授之課程。無碩士學位者，至少需修滿專業課程三十六學分，且其中至少需修電腦與通訊工程系碩士班開授課程十八學分以上</w:t>
      </w:r>
      <w:r w:rsidRPr="00A66ED1">
        <w:t>(</w:t>
      </w:r>
      <w:r w:rsidRPr="00A66ED1">
        <w:t>不含專題、專題討論及論文，學分數另計</w:t>
      </w:r>
      <w:r w:rsidRPr="00A66ED1">
        <w:t>)</w:t>
      </w:r>
      <w:r w:rsidRPr="00A66ED1">
        <w:t>。</w:t>
      </w:r>
    </w:p>
    <w:p w:rsidR="000B26C1" w:rsidRPr="00A66ED1" w:rsidRDefault="000B26C1" w:rsidP="000B26C1">
      <w:pPr>
        <w:ind w:leftChars="150" w:left="860" w:hangingChars="200" w:hanging="440"/>
        <w:rPr>
          <w:sz w:val="22"/>
          <w:szCs w:val="22"/>
        </w:rPr>
      </w:pPr>
      <w:r w:rsidRPr="00A66ED1">
        <w:rPr>
          <w:sz w:val="22"/>
          <w:szCs w:val="22"/>
        </w:rPr>
        <w:t>2.</w:t>
      </w:r>
      <w:r w:rsidRPr="00A66ED1">
        <w:rPr>
          <w:sz w:val="22"/>
          <w:szCs w:val="22"/>
        </w:rPr>
        <w:t>本組博士生在修業之前二年，應修讀通過本組之專題。</w:t>
      </w:r>
    </w:p>
    <w:p w:rsidR="000B26C1" w:rsidRPr="00A66ED1" w:rsidRDefault="000B26C1" w:rsidP="000B26C1">
      <w:pPr>
        <w:ind w:leftChars="150" w:left="860" w:hangingChars="200" w:hanging="440"/>
        <w:rPr>
          <w:sz w:val="22"/>
          <w:szCs w:val="22"/>
        </w:rPr>
      </w:pPr>
      <w:r w:rsidRPr="00A66ED1">
        <w:rPr>
          <w:sz w:val="22"/>
          <w:szCs w:val="22"/>
        </w:rPr>
        <w:t>3.</w:t>
      </w:r>
      <w:r w:rsidRPr="00A66ED1">
        <w:rPr>
          <w:sz w:val="22"/>
          <w:szCs w:val="22"/>
        </w:rPr>
        <w:t>本組博士生在修業之前二年，應修讀通過本組之專題討論（專題演講）。</w:t>
      </w:r>
    </w:p>
    <w:p w:rsidR="000B26C1" w:rsidRPr="00A66ED1" w:rsidRDefault="000B26C1" w:rsidP="000B26C1">
      <w:pPr>
        <w:ind w:leftChars="150" w:left="860" w:hangingChars="200" w:hanging="440"/>
        <w:rPr>
          <w:sz w:val="22"/>
          <w:szCs w:val="22"/>
        </w:rPr>
      </w:pPr>
      <w:r w:rsidRPr="00A66ED1">
        <w:rPr>
          <w:sz w:val="22"/>
          <w:szCs w:val="22"/>
        </w:rPr>
        <w:t>4.</w:t>
      </w:r>
      <w:r w:rsidRPr="00A66ED1">
        <w:rPr>
          <w:sz w:val="22"/>
          <w:szCs w:val="22"/>
        </w:rPr>
        <w:t>本組博士生每學期修讀課程，須經指導教授同意。</w:t>
      </w:r>
    </w:p>
    <w:p w:rsidR="000B26C1" w:rsidRPr="00A66ED1" w:rsidRDefault="000B26C1" w:rsidP="000B26C1">
      <w:pPr>
        <w:spacing w:line="360" w:lineRule="auto"/>
        <w:outlineLvl w:val="0"/>
        <w:rPr>
          <w:b/>
          <w:bCs/>
          <w:sz w:val="22"/>
          <w:szCs w:val="22"/>
        </w:rPr>
      </w:pPr>
      <w:r w:rsidRPr="00A66ED1">
        <w:rPr>
          <w:b/>
          <w:bCs/>
          <w:sz w:val="22"/>
          <w:szCs w:val="22"/>
        </w:rPr>
        <w:t>三、論</w:t>
      </w:r>
      <w:smartTag w:uri="urn:schemas-microsoft-com:office:smarttags" w:element="PersonName">
        <w:smartTagPr>
          <w:attr w:name="ProductID" w:val="文指導"/>
        </w:smartTagPr>
        <w:r w:rsidRPr="00A66ED1">
          <w:rPr>
            <w:b/>
            <w:bCs/>
            <w:sz w:val="22"/>
            <w:szCs w:val="22"/>
          </w:rPr>
          <w:t>文指導</w:t>
        </w:r>
      </w:smartTag>
      <w:r w:rsidRPr="00A66ED1">
        <w:rPr>
          <w:b/>
          <w:bCs/>
          <w:sz w:val="22"/>
          <w:szCs w:val="22"/>
        </w:rPr>
        <w:t>教授：</w:t>
      </w:r>
    </w:p>
    <w:p w:rsidR="000B26C1" w:rsidRPr="00A66ED1" w:rsidRDefault="000B26C1" w:rsidP="000B26C1">
      <w:pPr>
        <w:ind w:leftChars="150" w:left="640" w:hangingChars="100" w:hanging="220"/>
        <w:rPr>
          <w:sz w:val="22"/>
          <w:szCs w:val="22"/>
        </w:rPr>
      </w:pPr>
      <w:r w:rsidRPr="00A66ED1">
        <w:rPr>
          <w:sz w:val="22"/>
          <w:szCs w:val="22"/>
        </w:rPr>
        <w:t>1.</w:t>
      </w:r>
      <w:r w:rsidRPr="00A66ED1">
        <w:rPr>
          <w:sz w:val="22"/>
          <w:szCs w:val="22"/>
        </w:rPr>
        <w:t>本組博士生之論文指導教授應由本組助理教授</w:t>
      </w:r>
      <w:r w:rsidRPr="00A66ED1">
        <w:rPr>
          <w:sz w:val="22"/>
          <w:szCs w:val="22"/>
        </w:rPr>
        <w:t>(</w:t>
      </w:r>
      <w:r w:rsidRPr="00A66ED1">
        <w:rPr>
          <w:sz w:val="22"/>
          <w:szCs w:val="22"/>
        </w:rPr>
        <w:t>含</w:t>
      </w:r>
      <w:r w:rsidRPr="00A66ED1">
        <w:rPr>
          <w:sz w:val="22"/>
          <w:szCs w:val="22"/>
        </w:rPr>
        <w:t>)</w:t>
      </w:r>
      <w:r w:rsidRPr="00A66ED1">
        <w:rPr>
          <w:sz w:val="22"/>
          <w:szCs w:val="22"/>
        </w:rPr>
        <w:t>以上專任教師擔任。</w:t>
      </w:r>
    </w:p>
    <w:p w:rsidR="000B26C1" w:rsidRPr="00A66ED1" w:rsidRDefault="000B26C1" w:rsidP="000B26C1">
      <w:pPr>
        <w:ind w:leftChars="150" w:left="640" w:hangingChars="100" w:hanging="220"/>
        <w:jc w:val="both"/>
        <w:rPr>
          <w:sz w:val="22"/>
          <w:szCs w:val="22"/>
        </w:rPr>
      </w:pPr>
      <w:r w:rsidRPr="00A66ED1">
        <w:rPr>
          <w:sz w:val="22"/>
          <w:szCs w:val="22"/>
        </w:rPr>
        <w:t>2.</w:t>
      </w:r>
      <w:r w:rsidRPr="00A66ED1">
        <w:rPr>
          <w:sz w:val="22"/>
          <w:szCs w:val="22"/>
        </w:rPr>
        <w:t>本組博士學生應於入學後之第一學期的第二週</w:t>
      </w:r>
      <w:r w:rsidRPr="00A66ED1">
        <w:rPr>
          <w:sz w:val="22"/>
          <w:szCs w:val="22"/>
        </w:rPr>
        <w:t>(</w:t>
      </w:r>
      <w:r w:rsidRPr="00A66ED1">
        <w:rPr>
          <w:sz w:val="22"/>
          <w:szCs w:val="22"/>
        </w:rPr>
        <w:t>含</w:t>
      </w:r>
      <w:r w:rsidRPr="00A66ED1">
        <w:rPr>
          <w:sz w:val="22"/>
          <w:szCs w:val="22"/>
        </w:rPr>
        <w:t>)</w:t>
      </w:r>
      <w:r w:rsidRPr="00A66ED1">
        <w:rPr>
          <w:sz w:val="22"/>
          <w:szCs w:val="22"/>
        </w:rPr>
        <w:t>前，將「指導教授確認單」送達本組辦公室彙整。</w:t>
      </w:r>
    </w:p>
    <w:p w:rsidR="000B26C1" w:rsidRPr="00A66ED1" w:rsidRDefault="000B26C1" w:rsidP="000B26C1">
      <w:pPr>
        <w:ind w:leftChars="150" w:left="640" w:hangingChars="100" w:hanging="220"/>
        <w:jc w:val="both"/>
        <w:rPr>
          <w:sz w:val="22"/>
          <w:szCs w:val="22"/>
        </w:rPr>
      </w:pPr>
      <w:r w:rsidRPr="00A66ED1">
        <w:rPr>
          <w:sz w:val="22"/>
          <w:szCs w:val="22"/>
        </w:rPr>
        <w:t>3.</w:t>
      </w:r>
      <w:r w:rsidRPr="00A66ED1">
        <w:rPr>
          <w:sz w:val="22"/>
          <w:szCs w:val="22"/>
        </w:rPr>
        <w:t>本組博士生如需更換指導教授時，應先徵得原指導教授及新指導教授同意，並以書面向本組申請及核准。</w:t>
      </w:r>
    </w:p>
    <w:p w:rsidR="000B26C1" w:rsidRPr="00A66ED1" w:rsidRDefault="000B26C1" w:rsidP="000B26C1">
      <w:pPr>
        <w:ind w:leftChars="150" w:left="640" w:hangingChars="100" w:hanging="220"/>
        <w:jc w:val="both"/>
        <w:rPr>
          <w:sz w:val="22"/>
          <w:szCs w:val="22"/>
        </w:rPr>
      </w:pPr>
      <w:r w:rsidRPr="00A66ED1">
        <w:rPr>
          <w:sz w:val="22"/>
          <w:szCs w:val="22"/>
        </w:rPr>
        <w:t>4.</w:t>
      </w:r>
      <w:r w:rsidRPr="00A66ED1">
        <w:rPr>
          <w:sz w:val="22"/>
          <w:szCs w:val="22"/>
        </w:rPr>
        <w:t>本組每位專任教師每年至多可收一名博士生且同一時間內指導博士班學生不得超過四人為原則。</w:t>
      </w:r>
    </w:p>
    <w:p w:rsidR="000B26C1" w:rsidRPr="00A66ED1" w:rsidRDefault="000B26C1" w:rsidP="000B26C1">
      <w:pPr>
        <w:spacing w:line="360" w:lineRule="auto"/>
        <w:outlineLvl w:val="0"/>
        <w:rPr>
          <w:b/>
          <w:bCs/>
          <w:sz w:val="22"/>
          <w:szCs w:val="22"/>
        </w:rPr>
      </w:pPr>
      <w:r w:rsidRPr="00A66ED1">
        <w:rPr>
          <w:b/>
          <w:bCs/>
          <w:sz w:val="22"/>
          <w:szCs w:val="22"/>
        </w:rPr>
        <w:t>四、資格考試：</w:t>
      </w:r>
    </w:p>
    <w:p w:rsidR="000B26C1" w:rsidRPr="00A66ED1" w:rsidRDefault="000B26C1" w:rsidP="000B26C1">
      <w:pPr>
        <w:ind w:leftChars="150" w:left="860" w:hangingChars="200" w:hanging="440"/>
        <w:jc w:val="both"/>
        <w:rPr>
          <w:color w:val="000000"/>
        </w:rPr>
      </w:pPr>
      <w:r w:rsidRPr="00A66ED1">
        <w:rPr>
          <w:sz w:val="22"/>
          <w:szCs w:val="22"/>
        </w:rPr>
        <w:t>1.</w:t>
      </w:r>
      <w:r w:rsidRPr="00A66ED1">
        <w:rPr>
          <w:sz w:val="22"/>
          <w:szCs w:val="22"/>
        </w:rPr>
        <w:t>本組博士生資格考試以筆試行之，各科考試結果分「通過」（七十分【含】以上）及「不通過」二種。</w:t>
      </w:r>
    </w:p>
    <w:p w:rsidR="000B26C1" w:rsidRPr="00093436" w:rsidRDefault="000B26C1" w:rsidP="000B26C1">
      <w:pPr>
        <w:ind w:leftChars="149" w:left="595" w:hangingChars="81" w:hanging="178"/>
        <w:jc w:val="both"/>
        <w:rPr>
          <w:sz w:val="22"/>
          <w:szCs w:val="22"/>
        </w:rPr>
      </w:pPr>
      <w:r w:rsidRPr="00093436">
        <w:rPr>
          <w:sz w:val="22"/>
          <w:szCs w:val="22"/>
        </w:rPr>
        <w:t>2.</w:t>
      </w:r>
      <w:r w:rsidRPr="00093436">
        <w:rPr>
          <w:sz w:val="22"/>
          <w:szCs w:val="22"/>
        </w:rPr>
        <w:t>本組博士生於入學後三年內〈休學期間不計〉發表一篇</w:t>
      </w:r>
      <w:r w:rsidRPr="00093436">
        <w:rPr>
          <w:sz w:val="22"/>
          <w:szCs w:val="22"/>
        </w:rPr>
        <w:t>SCI</w:t>
      </w:r>
      <w:r w:rsidRPr="00093436">
        <w:rPr>
          <w:sz w:val="22"/>
          <w:szCs w:val="22"/>
        </w:rPr>
        <w:t>、</w:t>
      </w:r>
      <w:r w:rsidRPr="00093436">
        <w:rPr>
          <w:sz w:val="22"/>
          <w:szCs w:val="22"/>
        </w:rPr>
        <w:t>SSCI</w:t>
      </w:r>
      <w:r w:rsidRPr="00093436">
        <w:rPr>
          <w:sz w:val="22"/>
          <w:szCs w:val="22"/>
        </w:rPr>
        <w:t>或</w:t>
      </w:r>
      <w:r w:rsidRPr="00093436">
        <w:rPr>
          <w:sz w:val="22"/>
          <w:szCs w:val="22"/>
        </w:rPr>
        <w:t>EI</w:t>
      </w:r>
      <w:r w:rsidRPr="00093436">
        <w:rPr>
          <w:sz w:val="22"/>
          <w:szCs w:val="22"/>
        </w:rPr>
        <w:t>認定之期刊全文論文得抵免參加資格考試，欲抵免者，應於入學後二年內提出申請（否則視同以第四條第一款方式實施），申請獲准者，不得再變更。博士生須為該論文之</w:t>
      </w:r>
      <w:r w:rsidR="00FD20C9" w:rsidRPr="00F8340F">
        <w:rPr>
          <w:rFonts w:hint="eastAsia"/>
          <w:sz w:val="22"/>
          <w:szCs w:val="22"/>
        </w:rPr>
        <w:t>單一</w:t>
      </w:r>
      <w:r w:rsidRPr="00093436">
        <w:rPr>
          <w:sz w:val="22"/>
          <w:szCs w:val="22"/>
        </w:rPr>
        <w:t>作者〈論文指導教授不計〉，且該篇論文不計入畢業所規定之論文篇數內，未於上述時間內完成者，將喪失修讀博士學位之權利。</w:t>
      </w:r>
    </w:p>
    <w:p w:rsidR="000B26C1" w:rsidRPr="00A66ED1" w:rsidRDefault="000B26C1" w:rsidP="000B26C1">
      <w:pPr>
        <w:ind w:leftChars="149" w:left="595" w:hangingChars="81" w:hanging="178"/>
        <w:jc w:val="both"/>
        <w:rPr>
          <w:sz w:val="22"/>
          <w:szCs w:val="22"/>
        </w:rPr>
      </w:pPr>
      <w:r w:rsidRPr="00093436">
        <w:rPr>
          <w:sz w:val="22"/>
          <w:szCs w:val="22"/>
        </w:rPr>
        <w:t>3</w:t>
      </w:r>
      <w:r w:rsidRPr="00A66ED1">
        <w:rPr>
          <w:sz w:val="22"/>
          <w:szCs w:val="22"/>
        </w:rPr>
        <w:t>.</w:t>
      </w:r>
      <w:r w:rsidRPr="00A66ED1">
        <w:rPr>
          <w:sz w:val="22"/>
          <w:szCs w:val="22"/>
        </w:rPr>
        <w:t>本組博士生於入學後之第一個學期，即可申請參加資格考試。應在入學後六年內（含休學期間）通過資格考試。</w:t>
      </w:r>
      <w:r w:rsidRPr="00093436">
        <w:rPr>
          <w:sz w:val="22"/>
          <w:szCs w:val="22"/>
        </w:rPr>
        <w:t>如資格考未通過而補修科目者，應在入學後七年內（含休學期間）補修完竣。</w:t>
      </w:r>
      <w:r w:rsidRPr="00A66ED1">
        <w:rPr>
          <w:sz w:val="22"/>
          <w:szCs w:val="22"/>
        </w:rPr>
        <w:t>未於上述期限內通過資格考試</w:t>
      </w:r>
      <w:r w:rsidRPr="00093436">
        <w:rPr>
          <w:sz w:val="22"/>
          <w:szCs w:val="22"/>
        </w:rPr>
        <w:t>或補修課程完竣</w:t>
      </w:r>
      <w:r w:rsidRPr="00A66ED1">
        <w:rPr>
          <w:sz w:val="22"/>
          <w:szCs w:val="22"/>
        </w:rPr>
        <w:t>者，不得繼續於本組攻讀博士學位。</w:t>
      </w:r>
    </w:p>
    <w:p w:rsidR="000B26C1" w:rsidRPr="00093436" w:rsidRDefault="000B26C1" w:rsidP="000B26C1">
      <w:pPr>
        <w:ind w:leftChars="150" w:left="860" w:hangingChars="200" w:hanging="440"/>
        <w:jc w:val="both"/>
        <w:rPr>
          <w:color w:val="000000" w:themeColor="text1"/>
          <w:sz w:val="22"/>
          <w:szCs w:val="22"/>
        </w:rPr>
      </w:pPr>
      <w:r w:rsidRPr="00093436">
        <w:rPr>
          <w:color w:val="000000" w:themeColor="text1"/>
          <w:sz w:val="22"/>
          <w:szCs w:val="22"/>
        </w:rPr>
        <w:t>4.</w:t>
      </w:r>
      <w:r w:rsidRPr="00093436">
        <w:rPr>
          <w:color w:val="000000" w:themeColor="text1"/>
          <w:sz w:val="22"/>
          <w:szCs w:val="22"/>
        </w:rPr>
        <w:t>本組博士生資格考試每年分二梯次於上、下學期開始上課之第三週內分別舉行。學生經指導教授同意應考科目後，於每學期開始上課之第一週前提出申請參加資格考試的科目。申請後而缺考者，該科以零</w:t>
      </w:r>
      <w:r w:rsidRPr="00093436">
        <w:rPr>
          <w:color w:val="000000" w:themeColor="text1"/>
          <w:sz w:val="22"/>
          <w:szCs w:val="22"/>
        </w:rPr>
        <w:lastRenderedPageBreak/>
        <w:t>分計，且計不通過一次。</w:t>
      </w:r>
    </w:p>
    <w:p w:rsidR="000B26C1" w:rsidRPr="00093436" w:rsidRDefault="000B26C1" w:rsidP="000B26C1">
      <w:pPr>
        <w:ind w:leftChars="150" w:left="860" w:hangingChars="200" w:hanging="440"/>
        <w:jc w:val="both"/>
        <w:rPr>
          <w:color w:val="000000" w:themeColor="text1"/>
          <w:sz w:val="22"/>
          <w:szCs w:val="22"/>
        </w:rPr>
      </w:pPr>
      <w:r w:rsidRPr="00093436">
        <w:rPr>
          <w:color w:val="000000" w:themeColor="text1"/>
          <w:sz w:val="22"/>
          <w:szCs w:val="22"/>
        </w:rPr>
        <w:t>5.</w:t>
      </w:r>
      <w:r w:rsidRPr="00093436">
        <w:rPr>
          <w:color w:val="000000" w:themeColor="text1"/>
          <w:sz w:val="22"/>
          <w:szCs w:val="22"/>
        </w:rPr>
        <w:t>本組博士生資格考試必須就本組所列之資格考試科目中，選三科作為申請考試之科目，如某科未通過，得申請更改選考其他科目。任何一科考三次仍未通過者，不得再選該科目。任何一科考二次仍未通過者</w:t>
      </w:r>
      <w:r w:rsidRPr="00093436">
        <w:rPr>
          <w:color w:val="000000" w:themeColor="text1"/>
          <w:sz w:val="22"/>
          <w:szCs w:val="22"/>
        </w:rPr>
        <w:t>(</w:t>
      </w:r>
      <w:r w:rsidRPr="00093436">
        <w:rPr>
          <w:color w:val="000000" w:themeColor="text1"/>
          <w:sz w:val="22"/>
          <w:szCs w:val="22"/>
        </w:rPr>
        <w:t>含考試後當學期休學</w:t>
      </w:r>
      <w:r w:rsidRPr="00093436">
        <w:rPr>
          <w:color w:val="000000" w:themeColor="text1"/>
          <w:sz w:val="22"/>
          <w:szCs w:val="22"/>
        </w:rPr>
        <w:t>)</w:t>
      </w:r>
      <w:r w:rsidRPr="00093436">
        <w:rPr>
          <w:color w:val="000000" w:themeColor="text1"/>
          <w:sz w:val="22"/>
          <w:szCs w:val="22"/>
        </w:rPr>
        <w:t>，得申請補修課程。由本所所長組成審查委員會（委員包含系主任、命題教授、該生指導教授等）審議是否同意該生補修課程。如同意其補修，其所補修之科目應</w:t>
      </w:r>
      <w:r w:rsidR="00CA53B6" w:rsidRPr="00F8340F">
        <w:rPr>
          <w:color w:val="000000" w:themeColor="text1"/>
          <w:sz w:val="22"/>
          <w:szCs w:val="22"/>
        </w:rPr>
        <w:t>以本修業規定所建議科目</w:t>
      </w:r>
      <w:r w:rsidRPr="00093436">
        <w:rPr>
          <w:color w:val="000000" w:themeColor="text1"/>
          <w:sz w:val="22"/>
          <w:szCs w:val="22"/>
        </w:rPr>
        <w:t>為原則；並由該生指導教授指定補修科目，併案提經該委員會同意後辦理；如不同意其補修，則該生應另行選考其他科目。補修課程以</w:t>
      </w:r>
      <w:r w:rsidRPr="00093436">
        <w:rPr>
          <w:color w:val="000000" w:themeColor="text1"/>
          <w:sz w:val="22"/>
          <w:szCs w:val="22"/>
        </w:rPr>
        <w:t>70</w:t>
      </w:r>
      <w:r w:rsidRPr="00093436">
        <w:rPr>
          <w:color w:val="000000" w:themeColor="text1"/>
          <w:sz w:val="22"/>
          <w:szCs w:val="22"/>
        </w:rPr>
        <w:t>分為及格，不計入畢業學分。</w:t>
      </w:r>
      <w:r w:rsidR="00093436" w:rsidRPr="00F8340F">
        <w:rPr>
          <w:color w:val="000000" w:themeColor="text1"/>
          <w:sz w:val="22"/>
          <w:szCs w:val="22"/>
        </w:rPr>
        <w:t>若指定補修科目因故無法於該年度開班者，得至外系或他校修課，但須事先提出申請並經審查委員會同意，否則該生應另行選考其他科目。</w:t>
      </w:r>
      <w:r w:rsidRPr="00093436">
        <w:rPr>
          <w:color w:val="000000" w:themeColor="text1"/>
          <w:sz w:val="22"/>
          <w:szCs w:val="22"/>
        </w:rPr>
        <w:t>資格考試成績零分或自動放棄資格考試者，該考科不得補修課程。</w:t>
      </w:r>
    </w:p>
    <w:p w:rsidR="000B26C1" w:rsidRPr="00F8340F" w:rsidRDefault="000B26C1" w:rsidP="000B26C1">
      <w:pPr>
        <w:spacing w:line="360" w:lineRule="exact"/>
        <w:ind w:left="440" w:hangingChars="200" w:hanging="440"/>
        <w:rPr>
          <w:color w:val="000000" w:themeColor="text1"/>
          <w:sz w:val="22"/>
          <w:szCs w:val="22"/>
        </w:rPr>
      </w:pPr>
      <w:r w:rsidRPr="00093436">
        <w:rPr>
          <w:color w:val="000000" w:themeColor="text1"/>
          <w:sz w:val="22"/>
          <w:szCs w:val="22"/>
        </w:rPr>
        <w:t xml:space="preserve">   6.</w:t>
      </w:r>
      <w:r w:rsidRPr="00093436">
        <w:rPr>
          <w:color w:val="000000" w:themeColor="text1"/>
          <w:sz w:val="22"/>
          <w:szCs w:val="22"/>
        </w:rPr>
        <w:t>本組博</w:t>
      </w:r>
      <w:r w:rsidRPr="00F8340F">
        <w:rPr>
          <w:color w:val="000000" w:themeColor="text1"/>
          <w:sz w:val="22"/>
          <w:szCs w:val="22"/>
        </w:rPr>
        <w:t>士生資格考試科目</w:t>
      </w:r>
      <w:r w:rsidR="00CA53B6" w:rsidRPr="00F8340F">
        <w:rPr>
          <w:color w:val="000000" w:themeColor="text1"/>
          <w:sz w:val="22"/>
          <w:szCs w:val="22"/>
        </w:rPr>
        <w:t>及建議補修科目</w:t>
      </w:r>
      <w:r w:rsidRPr="00F8340F">
        <w:rPr>
          <w:color w:val="000000" w:themeColor="text1"/>
          <w:sz w:val="22"/>
          <w:szCs w:val="22"/>
        </w:rPr>
        <w:t>如下（資格考試各科目之相關參考資料，由本組提供之）：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327"/>
        <w:gridCol w:w="3640"/>
      </w:tblGrid>
      <w:tr w:rsidR="00CA53B6" w:rsidRPr="008179C8" w:rsidTr="00CA53B6">
        <w:trPr>
          <w:trHeight w:val="402"/>
          <w:jc w:val="center"/>
        </w:trPr>
        <w:tc>
          <w:tcPr>
            <w:tcW w:w="1150" w:type="dxa"/>
            <w:shd w:val="clear" w:color="auto" w:fill="C6D9F1"/>
            <w:vAlign w:val="center"/>
          </w:tcPr>
          <w:p w:rsidR="00CA53B6" w:rsidRPr="008179C8" w:rsidRDefault="00CA53B6" w:rsidP="00E54364">
            <w:pPr>
              <w:spacing w:line="240" w:lineRule="exact"/>
              <w:jc w:val="center"/>
              <w:rPr>
                <w:sz w:val="22"/>
                <w:szCs w:val="22"/>
              </w:rPr>
            </w:pPr>
            <w:r w:rsidRPr="008179C8">
              <w:rPr>
                <w:sz w:val="22"/>
                <w:szCs w:val="22"/>
              </w:rPr>
              <w:t>編號</w:t>
            </w:r>
          </w:p>
        </w:tc>
        <w:tc>
          <w:tcPr>
            <w:tcW w:w="3327" w:type="dxa"/>
            <w:shd w:val="clear" w:color="auto" w:fill="C6D9F1"/>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資格考試科目</w:t>
            </w:r>
          </w:p>
        </w:tc>
        <w:tc>
          <w:tcPr>
            <w:tcW w:w="3640" w:type="dxa"/>
            <w:shd w:val="clear" w:color="auto" w:fill="C6D9F1"/>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建議補修之本系大學部科目</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1</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線性代數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線性代數</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2</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隨機變數與統計</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隨機變數與統計</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3</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電子學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電子電路</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4</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作業系統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作業系統應用</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5</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通訊原理</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通訊原理</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6</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電腦演算法</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演算法</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7</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訊號與系統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訊號與系統</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8</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計算機組織</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計算機組織</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9</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離散數學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離散數學</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10</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資料庫系統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資料庫系統</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11</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資料結構</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資料結構</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12</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數位系統設計</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數位系統設計</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13</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電路學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電路學</w:t>
            </w:r>
            <w:r w:rsidRPr="00F8340F">
              <w:rPr>
                <w:color w:val="000000" w:themeColor="text1"/>
                <w:sz w:val="22"/>
                <w:szCs w:val="22"/>
              </w:rPr>
              <w:t>(</w:t>
            </w:r>
            <w:r w:rsidRPr="00F8340F">
              <w:rPr>
                <w:color w:val="000000" w:themeColor="text1"/>
                <w:sz w:val="22"/>
                <w:szCs w:val="22"/>
              </w:rPr>
              <w:t>二</w:t>
            </w:r>
            <w:r w:rsidRPr="00F8340F">
              <w:rPr>
                <w:color w:val="000000" w:themeColor="text1"/>
                <w:sz w:val="22"/>
                <w:szCs w:val="22"/>
              </w:rPr>
              <w:t>)</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14</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複變數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複變數</w:t>
            </w:r>
          </w:p>
        </w:tc>
      </w:tr>
    </w:tbl>
    <w:p w:rsidR="000B26C1" w:rsidRPr="00A66ED1" w:rsidRDefault="000B26C1" w:rsidP="000B26C1">
      <w:pPr>
        <w:ind w:leftChars="138" w:left="595" w:hangingChars="95" w:hanging="209"/>
        <w:rPr>
          <w:sz w:val="22"/>
          <w:szCs w:val="22"/>
        </w:rPr>
      </w:pPr>
      <w:r w:rsidRPr="00093436">
        <w:rPr>
          <w:color w:val="000000" w:themeColor="text1"/>
          <w:sz w:val="22"/>
          <w:szCs w:val="22"/>
        </w:rPr>
        <w:t>7.</w:t>
      </w:r>
      <w:r w:rsidRPr="00A66ED1">
        <w:rPr>
          <w:sz w:val="22"/>
          <w:szCs w:val="22"/>
        </w:rPr>
        <w:t>本組學生於休學期間不得申請及參加資格考試，參加資格考試後辦理休學者，資格考成績</w:t>
      </w:r>
      <w:r w:rsidRPr="00A66ED1">
        <w:rPr>
          <w:sz w:val="22"/>
          <w:szCs w:val="22"/>
        </w:rPr>
        <w:t>(</w:t>
      </w:r>
      <w:r w:rsidRPr="00A66ED1">
        <w:rPr>
          <w:sz w:val="22"/>
          <w:szCs w:val="22"/>
        </w:rPr>
        <w:t>通過及未通過</w:t>
      </w:r>
      <w:r w:rsidRPr="00A66ED1">
        <w:rPr>
          <w:sz w:val="22"/>
          <w:szCs w:val="22"/>
        </w:rPr>
        <w:t>)</w:t>
      </w:r>
      <w:r w:rsidRPr="00A66ED1">
        <w:rPr>
          <w:sz w:val="22"/>
          <w:szCs w:val="22"/>
        </w:rPr>
        <w:t>，概不計算。</w:t>
      </w:r>
    </w:p>
    <w:p w:rsidR="000B26C1" w:rsidRPr="00A66ED1" w:rsidRDefault="000B26C1" w:rsidP="000B26C1">
      <w:pPr>
        <w:spacing w:line="360" w:lineRule="auto"/>
        <w:rPr>
          <w:b/>
          <w:bCs/>
          <w:sz w:val="22"/>
          <w:szCs w:val="22"/>
        </w:rPr>
      </w:pPr>
      <w:r w:rsidRPr="00A66ED1">
        <w:rPr>
          <w:b/>
          <w:bCs/>
          <w:sz w:val="22"/>
          <w:szCs w:val="22"/>
        </w:rPr>
        <w:t>五、博士論文考試：</w:t>
      </w:r>
    </w:p>
    <w:p w:rsidR="000B26C1" w:rsidRPr="00A66ED1" w:rsidRDefault="000B26C1" w:rsidP="000B26C1">
      <w:pPr>
        <w:ind w:leftChars="150" w:left="860" w:hangingChars="200" w:hanging="440"/>
        <w:jc w:val="both"/>
        <w:rPr>
          <w:sz w:val="22"/>
          <w:szCs w:val="22"/>
        </w:rPr>
      </w:pPr>
      <w:r w:rsidRPr="00A66ED1">
        <w:rPr>
          <w:sz w:val="22"/>
          <w:szCs w:val="22"/>
        </w:rPr>
        <w:t>1.</w:t>
      </w:r>
      <w:r w:rsidRPr="00A66ED1">
        <w:rPr>
          <w:sz w:val="22"/>
          <w:szCs w:val="22"/>
        </w:rPr>
        <w:t>本組博士生於申請博士論文考試前之最低論文發表標準，至少需符合下列條件之一：</w:t>
      </w:r>
      <w:r w:rsidRPr="00A66ED1">
        <w:rPr>
          <w:sz w:val="22"/>
          <w:szCs w:val="22"/>
        </w:rPr>
        <w:t xml:space="preserve"> </w:t>
      </w:r>
      <w:r w:rsidRPr="00A66ED1">
        <w:rPr>
          <w:sz w:val="22"/>
          <w:szCs w:val="22"/>
        </w:rPr>
        <w:t>（</w:t>
      </w:r>
      <w:r w:rsidRPr="00A66ED1">
        <w:rPr>
          <w:sz w:val="22"/>
          <w:szCs w:val="22"/>
        </w:rPr>
        <w:t>1</w:t>
      </w:r>
      <w:r w:rsidRPr="00A66ED1">
        <w:rPr>
          <w:sz w:val="22"/>
          <w:szCs w:val="22"/>
        </w:rPr>
        <w:t>）</w:t>
      </w:r>
      <w:r w:rsidRPr="00A66ED1">
        <w:rPr>
          <w:sz w:val="22"/>
          <w:szCs w:val="22"/>
        </w:rPr>
        <w:t>EI</w:t>
      </w:r>
      <w:r w:rsidRPr="00A66ED1">
        <w:rPr>
          <w:sz w:val="22"/>
          <w:szCs w:val="22"/>
        </w:rPr>
        <w:t>、</w:t>
      </w:r>
      <w:r w:rsidRPr="00A66ED1">
        <w:rPr>
          <w:sz w:val="22"/>
          <w:szCs w:val="22"/>
        </w:rPr>
        <w:t>SCI</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或</w:t>
      </w:r>
      <w:r w:rsidRPr="00A66ED1">
        <w:rPr>
          <w:sz w:val="22"/>
          <w:szCs w:val="22"/>
        </w:rPr>
        <w:t>SSCI</w:t>
      </w:r>
      <w:r w:rsidRPr="00A66ED1">
        <w:rPr>
          <w:sz w:val="22"/>
          <w:szCs w:val="22"/>
        </w:rPr>
        <w:t>認定之期刊論文，至少二篇。（不得兩篇均為</w:t>
      </w:r>
      <w:r w:rsidRPr="00A66ED1">
        <w:rPr>
          <w:sz w:val="22"/>
          <w:szCs w:val="22"/>
        </w:rPr>
        <w:t>EI</w:t>
      </w:r>
      <w:r w:rsidRPr="00A66ED1">
        <w:rPr>
          <w:sz w:val="22"/>
          <w:szCs w:val="22"/>
        </w:rPr>
        <w:t>論文，其中一篇須為發表於</w:t>
      </w:r>
      <w:r w:rsidRPr="00A66ED1">
        <w:rPr>
          <w:sz w:val="22"/>
          <w:szCs w:val="22"/>
        </w:rPr>
        <w:t>EI</w:t>
      </w:r>
      <w:r w:rsidRPr="00A66ED1">
        <w:rPr>
          <w:sz w:val="22"/>
          <w:szCs w:val="22"/>
        </w:rPr>
        <w:t>、</w:t>
      </w:r>
      <w:r w:rsidRPr="00A66ED1">
        <w:rPr>
          <w:sz w:val="22"/>
          <w:szCs w:val="22"/>
        </w:rPr>
        <w:t>SCI</w:t>
      </w:r>
      <w:r w:rsidRPr="00A66ED1">
        <w:rPr>
          <w:sz w:val="22"/>
          <w:szCs w:val="22"/>
        </w:rPr>
        <w:t>之全文</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論文），（</w:t>
      </w:r>
      <w:r w:rsidRPr="00A66ED1">
        <w:rPr>
          <w:sz w:val="22"/>
          <w:szCs w:val="22"/>
        </w:rPr>
        <w:t>2</w:t>
      </w:r>
      <w:r w:rsidRPr="00A66ED1">
        <w:rPr>
          <w:sz w:val="22"/>
          <w:szCs w:val="22"/>
        </w:rPr>
        <w:t>）至少有一篇全文論文列名於</w:t>
      </w:r>
      <w:r w:rsidRPr="00A66ED1">
        <w:rPr>
          <w:sz w:val="22"/>
          <w:szCs w:val="22"/>
        </w:rPr>
        <w:t>SCI</w:t>
      </w:r>
      <w:r w:rsidRPr="00A66ED1">
        <w:rPr>
          <w:sz w:val="22"/>
          <w:szCs w:val="22"/>
        </w:rPr>
        <w:t>或</w:t>
      </w:r>
      <w:r w:rsidRPr="00A66ED1">
        <w:rPr>
          <w:sz w:val="22"/>
          <w:szCs w:val="22"/>
        </w:rPr>
        <w:t>SSCI</w:t>
      </w:r>
      <w:r w:rsidRPr="00A66ED1">
        <w:rPr>
          <w:sz w:val="22"/>
          <w:szCs w:val="22"/>
        </w:rPr>
        <w:t>之期刊，且至少有一項與電腦與通訊相關之國內</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外發明專利。</w:t>
      </w:r>
    </w:p>
    <w:p w:rsidR="00093436" w:rsidRDefault="000B26C1" w:rsidP="00CA53B6">
      <w:pPr>
        <w:ind w:leftChars="149" w:left="595" w:hangingChars="81" w:hanging="178"/>
        <w:jc w:val="both"/>
        <w:rPr>
          <w:sz w:val="22"/>
          <w:szCs w:val="22"/>
        </w:rPr>
      </w:pPr>
      <w:r w:rsidRPr="00A66ED1">
        <w:rPr>
          <w:sz w:val="22"/>
          <w:szCs w:val="22"/>
        </w:rPr>
        <w:t>2.</w:t>
      </w:r>
      <w:r w:rsidRPr="00A66ED1">
        <w:rPr>
          <w:sz w:val="22"/>
          <w:szCs w:val="22"/>
        </w:rPr>
        <w:t>本組博士生發表之論文或專利時間，必須於入學後</w:t>
      </w:r>
      <w:r w:rsidRPr="00A66ED1">
        <w:rPr>
          <w:sz w:val="22"/>
          <w:szCs w:val="22"/>
        </w:rPr>
        <w:t>(</w:t>
      </w:r>
      <w:r w:rsidRPr="00A66ED1">
        <w:rPr>
          <w:sz w:val="22"/>
          <w:szCs w:val="22"/>
        </w:rPr>
        <w:t>本所就讀期間</w:t>
      </w:r>
      <w:r w:rsidRPr="00A66ED1">
        <w:rPr>
          <w:sz w:val="22"/>
          <w:szCs w:val="22"/>
        </w:rPr>
        <w:t>)</w:t>
      </w:r>
      <w:r w:rsidRPr="00A66ED1">
        <w:rPr>
          <w:sz w:val="22"/>
          <w:szCs w:val="22"/>
        </w:rPr>
        <w:t>進行之研究、撰寫之期刊論文或取得專利，並利用本所或各系所全銜刊登，且為該論文之第一順位作者（論文指導教授不計），本組始承認其</w:t>
      </w:r>
      <w:r w:rsidRPr="00A66ED1">
        <w:rPr>
          <w:sz w:val="22"/>
          <w:szCs w:val="22"/>
        </w:rPr>
        <w:lastRenderedPageBreak/>
        <w:t>為在學期間之研究成果。</w:t>
      </w:r>
    </w:p>
    <w:p w:rsidR="000B26C1" w:rsidRPr="00A66ED1" w:rsidRDefault="000B26C1" w:rsidP="000B26C1">
      <w:pPr>
        <w:ind w:leftChars="150" w:left="860" w:hangingChars="200" w:hanging="440"/>
        <w:jc w:val="both"/>
        <w:rPr>
          <w:sz w:val="22"/>
          <w:szCs w:val="22"/>
        </w:rPr>
      </w:pPr>
      <w:r w:rsidRPr="00A66ED1">
        <w:rPr>
          <w:sz w:val="22"/>
          <w:szCs w:val="22"/>
        </w:rPr>
        <w:t>3.</w:t>
      </w:r>
      <w:r w:rsidRPr="00A66ED1">
        <w:rPr>
          <w:sz w:val="22"/>
          <w:szCs w:val="22"/>
        </w:rPr>
        <w:t>本組博士生申請博士論文考試前，英文能力需符合下列方案中其中</w:t>
      </w:r>
      <w:r w:rsidRPr="00A66ED1">
        <w:rPr>
          <w:sz w:val="22"/>
          <w:szCs w:val="22"/>
        </w:rPr>
        <w:t>1</w:t>
      </w:r>
      <w:r w:rsidRPr="00A66ED1">
        <w:rPr>
          <w:sz w:val="22"/>
          <w:szCs w:val="22"/>
        </w:rPr>
        <w:t>案：</w:t>
      </w:r>
    </w:p>
    <w:p w:rsidR="000B26C1" w:rsidRPr="00A66ED1" w:rsidRDefault="000B26C1" w:rsidP="000B26C1">
      <w:pPr>
        <w:ind w:left="440" w:hangingChars="200" w:hanging="440"/>
        <w:jc w:val="both"/>
        <w:rPr>
          <w:sz w:val="22"/>
          <w:szCs w:val="22"/>
        </w:rPr>
      </w:pPr>
      <w:r w:rsidRPr="00A66ED1">
        <w:rPr>
          <w:sz w:val="22"/>
          <w:szCs w:val="22"/>
        </w:rPr>
        <w:t xml:space="preserve">    </w:t>
      </w:r>
      <w:r w:rsidRPr="00A66ED1">
        <w:rPr>
          <w:sz w:val="22"/>
          <w:szCs w:val="22"/>
        </w:rPr>
        <w:t>（</w:t>
      </w:r>
      <w:r w:rsidRPr="00A66ED1">
        <w:rPr>
          <w:sz w:val="22"/>
          <w:szCs w:val="22"/>
        </w:rPr>
        <w:t>1</w:t>
      </w:r>
      <w:r w:rsidRPr="00A66ED1">
        <w:rPr>
          <w:sz w:val="22"/>
          <w:szCs w:val="22"/>
        </w:rPr>
        <w:t>）參加國際研討會並親自以英文口述發表</w:t>
      </w:r>
      <w:r w:rsidR="00093436" w:rsidRPr="00F8340F">
        <w:rPr>
          <w:sz w:val="22"/>
          <w:szCs w:val="22"/>
        </w:rPr>
        <w:t>並提出照片及錄音或錄影證明者</w:t>
      </w:r>
      <w:r w:rsidR="00093436" w:rsidRPr="002E52DE">
        <w:rPr>
          <w:sz w:val="22"/>
          <w:szCs w:val="22"/>
        </w:rPr>
        <w:t>。</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2</w:t>
      </w:r>
      <w:r w:rsidRPr="00A66ED1">
        <w:rPr>
          <w:sz w:val="22"/>
          <w:szCs w:val="22"/>
        </w:rPr>
        <w:t>）</w:t>
      </w:r>
      <w:r w:rsidRPr="00A66ED1">
        <w:rPr>
          <w:sz w:val="22"/>
          <w:szCs w:val="22"/>
        </w:rPr>
        <w:t>CBT-TOEFL-173</w:t>
      </w:r>
      <w:r w:rsidRPr="00A66ED1">
        <w:rPr>
          <w:sz w:val="22"/>
          <w:szCs w:val="22"/>
        </w:rPr>
        <w:t>分（約舊制</w:t>
      </w:r>
      <w:r w:rsidRPr="00A66ED1">
        <w:rPr>
          <w:sz w:val="22"/>
          <w:szCs w:val="22"/>
        </w:rPr>
        <w:t>500</w:t>
      </w:r>
      <w:r w:rsidRPr="00A66ED1">
        <w:rPr>
          <w:sz w:val="22"/>
          <w:szCs w:val="22"/>
        </w:rPr>
        <w:t>分）以上，或</w:t>
      </w:r>
      <w:r w:rsidRPr="00A66ED1">
        <w:rPr>
          <w:sz w:val="22"/>
          <w:szCs w:val="22"/>
        </w:rPr>
        <w:t>IBT- TOEFL-61</w:t>
      </w:r>
      <w:r w:rsidRPr="00A66ED1">
        <w:rPr>
          <w:sz w:val="22"/>
          <w:szCs w:val="22"/>
        </w:rPr>
        <w:t>分以上或</w:t>
      </w:r>
      <w:r w:rsidRPr="00A66ED1">
        <w:rPr>
          <w:sz w:val="22"/>
          <w:szCs w:val="22"/>
        </w:rPr>
        <w:t>TOEIC-650</w:t>
      </w:r>
      <w:r w:rsidRPr="00A66ED1">
        <w:rPr>
          <w:sz w:val="22"/>
          <w:szCs w:val="22"/>
        </w:rPr>
        <w:t>分以上。</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3</w:t>
      </w:r>
      <w:r w:rsidRPr="00A66ED1">
        <w:rPr>
          <w:sz w:val="22"/>
          <w:szCs w:val="22"/>
        </w:rPr>
        <w:t>）全民英檢中級檢定通過或全民英檢中高級初試通過。</w:t>
      </w:r>
    </w:p>
    <w:p w:rsidR="000B26C1" w:rsidRPr="00A66ED1" w:rsidRDefault="000B26C1" w:rsidP="000B26C1">
      <w:pPr>
        <w:ind w:leftChars="149" w:left="595" w:hangingChars="81" w:hanging="178"/>
        <w:jc w:val="both"/>
        <w:rPr>
          <w:sz w:val="22"/>
          <w:szCs w:val="22"/>
        </w:rPr>
      </w:pPr>
      <w:r w:rsidRPr="00A66ED1">
        <w:rPr>
          <w:sz w:val="22"/>
          <w:szCs w:val="22"/>
        </w:rPr>
        <w:t>4.</w:t>
      </w:r>
      <w:r w:rsidRPr="00A66ED1">
        <w:rPr>
          <w:sz w:val="22"/>
          <w:szCs w:val="22"/>
        </w:rPr>
        <w:t>本組博士生需經其指導教授同意簽字，始得向本組博士生畢業資格審查委員會提出博士論文考試資格審查；經畢業資格審查委員會審查通過後，始得申請博士論文考試。</w:t>
      </w:r>
    </w:p>
    <w:p w:rsidR="000B26C1" w:rsidRPr="00A66ED1" w:rsidRDefault="000B26C1" w:rsidP="000B26C1">
      <w:pPr>
        <w:ind w:leftChars="149" w:left="595" w:hangingChars="81" w:hanging="178"/>
        <w:jc w:val="both"/>
        <w:rPr>
          <w:sz w:val="22"/>
          <w:szCs w:val="22"/>
        </w:rPr>
      </w:pPr>
      <w:r w:rsidRPr="00A66ED1">
        <w:rPr>
          <w:sz w:val="22"/>
          <w:szCs w:val="22"/>
        </w:rPr>
        <w:t>5.</w:t>
      </w:r>
      <w:r w:rsidRPr="00A66ED1">
        <w:rPr>
          <w:sz w:val="22"/>
          <w:szCs w:val="22"/>
        </w:rPr>
        <w:t>本組博士論文考試委員為五至九人，其指導教授為當然委員，其中校外委員需達全部委員之三分之一（含）以上，委員資格須符合教育部規定。</w:t>
      </w:r>
    </w:p>
    <w:p w:rsidR="000B26C1" w:rsidRPr="00A66ED1" w:rsidRDefault="000B26C1" w:rsidP="000B26C1">
      <w:pPr>
        <w:ind w:leftChars="150" w:left="860" w:hangingChars="200" w:hanging="440"/>
        <w:jc w:val="both"/>
        <w:rPr>
          <w:sz w:val="22"/>
          <w:szCs w:val="22"/>
        </w:rPr>
      </w:pPr>
      <w:r w:rsidRPr="00A66ED1">
        <w:rPr>
          <w:sz w:val="22"/>
          <w:szCs w:val="22"/>
        </w:rPr>
        <w:t>6.</w:t>
      </w:r>
      <w:r w:rsidRPr="00A66ED1">
        <w:rPr>
          <w:sz w:val="22"/>
          <w:szCs w:val="22"/>
        </w:rPr>
        <w:t>本組博士論文考試時，至少需有五位委員出席，且其中校外委員須達三分之一（含）以上始能舉行。</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考試委員應親自出席，不得委託他人代理。</w:t>
      </w:r>
    </w:p>
    <w:p w:rsidR="000B26C1" w:rsidRPr="00A66ED1" w:rsidRDefault="000B26C1" w:rsidP="000B26C1">
      <w:pPr>
        <w:ind w:leftChars="150" w:left="640" w:hangingChars="100" w:hanging="220"/>
        <w:rPr>
          <w:sz w:val="22"/>
          <w:szCs w:val="22"/>
        </w:rPr>
      </w:pPr>
      <w:r w:rsidRPr="00A66ED1">
        <w:rPr>
          <w:sz w:val="22"/>
          <w:szCs w:val="22"/>
        </w:rPr>
        <w:t>7.</w:t>
      </w:r>
      <w:r w:rsidRPr="00A66ED1">
        <w:rPr>
          <w:sz w:val="22"/>
          <w:szCs w:val="22"/>
        </w:rPr>
        <w:t>本組博士論文考試成績，須出席委員評定及格（成績達七十分）達三分之二（含）以上時，始計算其平均分數，且平均分數須達七十分以上者，始為及格。</w:t>
      </w:r>
    </w:p>
    <w:p w:rsidR="000B26C1" w:rsidRPr="00A66ED1" w:rsidRDefault="000B26C1" w:rsidP="000B26C1">
      <w:pPr>
        <w:ind w:leftChars="150" w:left="860" w:hangingChars="200" w:hanging="440"/>
        <w:jc w:val="both"/>
        <w:rPr>
          <w:sz w:val="22"/>
          <w:szCs w:val="22"/>
        </w:rPr>
      </w:pPr>
      <w:r w:rsidRPr="00A66ED1">
        <w:rPr>
          <w:sz w:val="22"/>
          <w:szCs w:val="22"/>
        </w:rPr>
        <w:t>8.</w:t>
      </w:r>
      <w:r w:rsidRPr="00A66ED1">
        <w:rPr>
          <w:sz w:val="22"/>
          <w:szCs w:val="22"/>
        </w:rPr>
        <w:t>本組博士論文考試不及格而其修業年限尚未屆滿者，得於次學期以後申請重考，重考以一次為限；重</w:t>
      </w:r>
    </w:p>
    <w:p w:rsidR="000B26C1" w:rsidRDefault="000B26C1" w:rsidP="00093436">
      <w:pPr>
        <w:ind w:leftChars="132" w:left="810" w:hangingChars="200" w:hanging="440"/>
        <w:jc w:val="both"/>
        <w:rPr>
          <w:rFonts w:ascii="標楷體" w:hAnsi="標楷體"/>
          <w:sz w:val="22"/>
          <w:szCs w:val="22"/>
        </w:rPr>
      </w:pPr>
      <w:r w:rsidRPr="00A66ED1">
        <w:rPr>
          <w:sz w:val="22"/>
          <w:szCs w:val="22"/>
        </w:rPr>
        <w:t xml:space="preserve">  </w:t>
      </w:r>
      <w:r w:rsidRPr="00A66ED1">
        <w:rPr>
          <w:sz w:val="22"/>
          <w:szCs w:val="22"/>
        </w:rPr>
        <w:t>考不及格者，不得繼續於本組攻讀博士學位。</w:t>
      </w:r>
    </w:p>
    <w:p w:rsidR="003B4DCA" w:rsidRDefault="003B4DCA">
      <w:pPr>
        <w:widowControl/>
        <w:snapToGrid/>
        <w:spacing w:after="0" w:line="240" w:lineRule="auto"/>
      </w:pPr>
      <w:r>
        <w:br w:type="page"/>
      </w:r>
    </w:p>
    <w:p w:rsidR="003B4DCA" w:rsidRDefault="003B4DCA" w:rsidP="003B4DCA">
      <w:pPr>
        <w:spacing w:line="360" w:lineRule="atLeast"/>
        <w:jc w:val="center"/>
        <w:rPr>
          <w:rFonts w:hAnsi="標楷體"/>
          <w:sz w:val="40"/>
          <w:szCs w:val="40"/>
        </w:rPr>
      </w:pPr>
      <w:r w:rsidRPr="004D20FB">
        <w:rPr>
          <w:rFonts w:hAnsi="標楷體"/>
          <w:bCs/>
          <w:spacing w:val="10"/>
          <w:sz w:val="40"/>
          <w:szCs w:val="40"/>
        </w:rPr>
        <w:lastRenderedPageBreak/>
        <w:t>國立高雄科技大學</w:t>
      </w:r>
      <w:r>
        <w:rPr>
          <w:rFonts w:hAnsi="標楷體" w:hint="eastAsia"/>
          <w:bCs/>
          <w:spacing w:val="10"/>
          <w:sz w:val="40"/>
          <w:szCs w:val="40"/>
        </w:rPr>
        <w:t>(</w:t>
      </w:r>
      <w:r w:rsidRPr="004D20FB">
        <w:rPr>
          <w:rFonts w:hAnsi="標楷體"/>
          <w:bCs/>
          <w:spacing w:val="10"/>
          <w:sz w:val="40"/>
          <w:szCs w:val="40"/>
        </w:rPr>
        <w:t>第一</w:t>
      </w:r>
      <w:r>
        <w:rPr>
          <w:rFonts w:hAnsi="標楷體" w:hint="eastAsia"/>
          <w:bCs/>
          <w:spacing w:val="10"/>
          <w:sz w:val="40"/>
          <w:szCs w:val="40"/>
        </w:rPr>
        <w:t>校區</w:t>
      </w:r>
      <w:r>
        <w:rPr>
          <w:rFonts w:hAnsi="標楷體" w:hint="eastAsia"/>
          <w:bCs/>
          <w:spacing w:val="10"/>
          <w:sz w:val="40"/>
          <w:szCs w:val="40"/>
        </w:rPr>
        <w:t>)</w:t>
      </w:r>
      <w:r w:rsidRPr="004D20FB">
        <w:rPr>
          <w:rFonts w:hAnsi="標楷體" w:hint="eastAsia"/>
          <w:bCs/>
          <w:spacing w:val="10"/>
          <w:sz w:val="40"/>
          <w:szCs w:val="40"/>
        </w:rPr>
        <w:t>工學院</w:t>
      </w:r>
      <w:r w:rsidRPr="00EA35DB">
        <w:rPr>
          <w:rFonts w:hAnsi="標楷體"/>
          <w:sz w:val="40"/>
          <w:szCs w:val="40"/>
        </w:rPr>
        <w:t>工程科技</w:t>
      </w:r>
      <w:r>
        <w:rPr>
          <w:rFonts w:hAnsi="標楷體" w:hint="eastAsia"/>
          <w:sz w:val="40"/>
          <w:szCs w:val="40"/>
        </w:rPr>
        <w:t>博士班</w:t>
      </w:r>
    </w:p>
    <w:p w:rsidR="003B4DCA" w:rsidRDefault="003B4DCA" w:rsidP="003B4DCA">
      <w:pPr>
        <w:ind w:rightChars="17" w:right="48"/>
        <w:jc w:val="center"/>
      </w:pPr>
      <w:r w:rsidRPr="00EA35DB">
        <w:rPr>
          <w:rFonts w:hAnsi="標楷體"/>
          <w:sz w:val="40"/>
          <w:szCs w:val="40"/>
        </w:rPr>
        <w:t>電腦與通訊工程組資格考核筆試參考用書</w:t>
      </w:r>
    </w:p>
    <w:p w:rsidR="003B4DCA" w:rsidRPr="00601B08" w:rsidRDefault="003B4DCA" w:rsidP="003B4DCA">
      <w:pPr>
        <w:spacing w:after="0" w:line="240" w:lineRule="auto"/>
        <w:ind w:rightChars="17" w:right="48"/>
        <w:jc w:val="right"/>
        <w:rPr>
          <w:sz w:val="22"/>
          <w:szCs w:val="22"/>
        </w:rPr>
      </w:pPr>
      <w:r w:rsidRPr="00601B08">
        <w:rPr>
          <w:rFonts w:hAnsi="標楷體" w:hint="eastAsia"/>
          <w:sz w:val="22"/>
          <w:szCs w:val="22"/>
        </w:rPr>
        <w:t>業經</w:t>
      </w:r>
      <w:r w:rsidRPr="00601B08">
        <w:rPr>
          <w:rFonts w:hAnsi="標楷體" w:hint="eastAsia"/>
          <w:sz w:val="22"/>
          <w:szCs w:val="22"/>
        </w:rPr>
        <w:t>101</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1</w:t>
      </w:r>
      <w:r w:rsidRPr="00601B08">
        <w:rPr>
          <w:rFonts w:hAnsi="標楷體" w:hint="eastAsia"/>
          <w:sz w:val="22"/>
          <w:szCs w:val="22"/>
        </w:rPr>
        <w:t>次電通系務會議</w:t>
      </w:r>
      <w:r w:rsidRPr="00601B08">
        <w:rPr>
          <w:rFonts w:hAnsi="標楷體"/>
          <w:sz w:val="22"/>
          <w:szCs w:val="22"/>
        </w:rPr>
        <w:t>修訂</w:t>
      </w:r>
      <w:r w:rsidRPr="00601B08">
        <w:rPr>
          <w:rFonts w:hAnsi="標楷體" w:hint="eastAsia"/>
          <w:sz w:val="22"/>
          <w:szCs w:val="22"/>
        </w:rPr>
        <w:t>通過</w:t>
      </w:r>
      <w:r w:rsidRPr="00601B08">
        <w:rPr>
          <w:rFonts w:hAnsi="標楷體" w:hint="eastAsia"/>
          <w:sz w:val="22"/>
          <w:szCs w:val="22"/>
        </w:rPr>
        <w:t>(</w:t>
      </w:r>
      <w:r w:rsidRPr="00601B08">
        <w:rPr>
          <w:rFonts w:hint="eastAsia"/>
          <w:sz w:val="22"/>
          <w:szCs w:val="22"/>
        </w:rPr>
        <w:t>101</w:t>
      </w:r>
      <w:r w:rsidRPr="00601B08">
        <w:rPr>
          <w:sz w:val="22"/>
          <w:szCs w:val="22"/>
        </w:rPr>
        <w:t>.</w:t>
      </w:r>
      <w:r w:rsidRPr="00601B08">
        <w:rPr>
          <w:rFonts w:hint="eastAsia"/>
          <w:sz w:val="22"/>
          <w:szCs w:val="22"/>
        </w:rPr>
        <w:t>09.12)</w:t>
      </w:r>
    </w:p>
    <w:p w:rsidR="003B4DCA" w:rsidRPr="00601B08" w:rsidRDefault="003B4DCA" w:rsidP="003B4DCA">
      <w:pPr>
        <w:spacing w:after="0" w:line="240" w:lineRule="auto"/>
        <w:ind w:rightChars="17" w:right="48"/>
        <w:jc w:val="right"/>
        <w:rPr>
          <w:sz w:val="22"/>
          <w:szCs w:val="22"/>
        </w:rPr>
      </w:pPr>
      <w:r w:rsidRPr="00601B08">
        <w:rPr>
          <w:rFonts w:hint="eastAsia"/>
          <w:sz w:val="22"/>
          <w:szCs w:val="22"/>
        </w:rPr>
        <w:t>業經</w:t>
      </w:r>
      <w:r w:rsidRPr="00601B08">
        <w:rPr>
          <w:rFonts w:hAnsi="標楷體" w:hint="eastAsia"/>
          <w:sz w:val="22"/>
          <w:szCs w:val="22"/>
        </w:rPr>
        <w:t>101</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1</w:t>
      </w:r>
      <w:r w:rsidRPr="00601B08">
        <w:rPr>
          <w:rFonts w:hAnsi="標楷體" w:hint="eastAsia"/>
          <w:sz w:val="22"/>
          <w:szCs w:val="22"/>
        </w:rPr>
        <w:t>次工研所所務會議決議通過</w:t>
      </w:r>
      <w:r w:rsidRPr="00601B08">
        <w:rPr>
          <w:rFonts w:hAnsi="標楷體" w:hint="eastAsia"/>
          <w:sz w:val="22"/>
          <w:szCs w:val="22"/>
        </w:rPr>
        <w:t>(</w:t>
      </w:r>
      <w:r w:rsidRPr="00601B08">
        <w:rPr>
          <w:rFonts w:hint="eastAsia"/>
          <w:sz w:val="22"/>
          <w:szCs w:val="22"/>
        </w:rPr>
        <w:t>101</w:t>
      </w:r>
      <w:r w:rsidRPr="00601B08">
        <w:rPr>
          <w:sz w:val="22"/>
          <w:szCs w:val="22"/>
        </w:rPr>
        <w:t>.</w:t>
      </w:r>
      <w:r w:rsidRPr="00601B08">
        <w:rPr>
          <w:rFonts w:hint="eastAsia"/>
          <w:sz w:val="22"/>
          <w:szCs w:val="22"/>
        </w:rPr>
        <w:t>10.01)</w:t>
      </w:r>
    </w:p>
    <w:p w:rsidR="003B4DCA" w:rsidRPr="00601B08" w:rsidRDefault="003B4DCA" w:rsidP="003B4DCA">
      <w:pPr>
        <w:spacing w:after="0" w:line="240" w:lineRule="auto"/>
        <w:ind w:rightChars="17" w:right="48"/>
        <w:jc w:val="right"/>
        <w:rPr>
          <w:sz w:val="22"/>
          <w:szCs w:val="22"/>
        </w:rPr>
      </w:pPr>
      <w:r w:rsidRPr="00601B08">
        <w:rPr>
          <w:rFonts w:hAnsi="標楷體" w:hint="eastAsia"/>
          <w:sz w:val="22"/>
          <w:szCs w:val="22"/>
        </w:rPr>
        <w:t>業經</w:t>
      </w:r>
      <w:r w:rsidRPr="00601B08">
        <w:rPr>
          <w:rFonts w:hAnsi="標楷體" w:hint="eastAsia"/>
          <w:sz w:val="22"/>
          <w:szCs w:val="22"/>
        </w:rPr>
        <w:t>104</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2</w:t>
      </w:r>
      <w:r w:rsidRPr="00601B08">
        <w:rPr>
          <w:rFonts w:hAnsi="標楷體" w:hint="eastAsia"/>
          <w:sz w:val="22"/>
          <w:szCs w:val="22"/>
        </w:rPr>
        <w:t>次電通系務會議</w:t>
      </w:r>
      <w:r w:rsidRPr="00601B08">
        <w:rPr>
          <w:rFonts w:hAnsi="標楷體"/>
          <w:sz w:val="22"/>
          <w:szCs w:val="22"/>
        </w:rPr>
        <w:t>修訂</w:t>
      </w:r>
      <w:r w:rsidRPr="00601B08">
        <w:rPr>
          <w:rFonts w:hAnsi="標楷體" w:hint="eastAsia"/>
          <w:sz w:val="22"/>
          <w:szCs w:val="22"/>
        </w:rPr>
        <w:t>通過</w:t>
      </w:r>
      <w:r w:rsidRPr="00601B08">
        <w:rPr>
          <w:rFonts w:hAnsi="標楷體" w:hint="eastAsia"/>
          <w:sz w:val="22"/>
          <w:szCs w:val="22"/>
        </w:rPr>
        <w:t>(</w:t>
      </w:r>
      <w:r w:rsidRPr="00601B08">
        <w:rPr>
          <w:rFonts w:hint="eastAsia"/>
          <w:sz w:val="22"/>
          <w:szCs w:val="22"/>
        </w:rPr>
        <w:t>104</w:t>
      </w:r>
      <w:r w:rsidRPr="00601B08">
        <w:rPr>
          <w:sz w:val="22"/>
          <w:szCs w:val="22"/>
        </w:rPr>
        <w:t>.</w:t>
      </w:r>
      <w:r w:rsidRPr="00601B08">
        <w:rPr>
          <w:rFonts w:hint="eastAsia"/>
          <w:sz w:val="22"/>
          <w:szCs w:val="22"/>
        </w:rPr>
        <w:t>09.15)</w:t>
      </w:r>
    </w:p>
    <w:p w:rsidR="003B4DCA" w:rsidRPr="00601B08" w:rsidRDefault="003B4DCA" w:rsidP="003B4DCA">
      <w:pPr>
        <w:spacing w:after="0" w:line="240" w:lineRule="auto"/>
        <w:ind w:rightChars="17" w:right="48"/>
        <w:jc w:val="right"/>
        <w:rPr>
          <w:sz w:val="22"/>
          <w:szCs w:val="22"/>
        </w:rPr>
      </w:pPr>
      <w:r w:rsidRPr="00601B08">
        <w:rPr>
          <w:rFonts w:hint="eastAsia"/>
          <w:sz w:val="22"/>
          <w:szCs w:val="22"/>
        </w:rPr>
        <w:t>業經</w:t>
      </w:r>
      <w:r w:rsidRPr="00601B08">
        <w:rPr>
          <w:rFonts w:hAnsi="標楷體" w:hint="eastAsia"/>
          <w:sz w:val="22"/>
          <w:szCs w:val="22"/>
        </w:rPr>
        <w:t>104</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1</w:t>
      </w:r>
      <w:r w:rsidRPr="00601B08">
        <w:rPr>
          <w:rFonts w:hAnsi="標楷體" w:hint="eastAsia"/>
          <w:sz w:val="22"/>
          <w:szCs w:val="22"/>
        </w:rPr>
        <w:t>次工科博士班班務會議決議通過</w:t>
      </w:r>
      <w:r w:rsidRPr="00601B08">
        <w:rPr>
          <w:rFonts w:hAnsi="標楷體" w:hint="eastAsia"/>
          <w:sz w:val="22"/>
          <w:szCs w:val="22"/>
        </w:rPr>
        <w:t>(</w:t>
      </w:r>
      <w:r w:rsidRPr="00601B08">
        <w:rPr>
          <w:rFonts w:hint="eastAsia"/>
          <w:sz w:val="22"/>
          <w:szCs w:val="22"/>
        </w:rPr>
        <w:t>104</w:t>
      </w:r>
      <w:r w:rsidRPr="00601B08">
        <w:rPr>
          <w:sz w:val="22"/>
          <w:szCs w:val="22"/>
        </w:rPr>
        <w:t>.</w:t>
      </w:r>
      <w:r w:rsidRPr="00601B08">
        <w:rPr>
          <w:rFonts w:hint="eastAsia"/>
          <w:sz w:val="22"/>
          <w:szCs w:val="22"/>
        </w:rPr>
        <w:t>10.14)</w:t>
      </w:r>
    </w:p>
    <w:p w:rsidR="003B4DCA" w:rsidRDefault="003B4DCA" w:rsidP="003B4DCA">
      <w:pPr>
        <w:spacing w:after="0" w:line="240" w:lineRule="auto"/>
        <w:ind w:rightChars="17" w:right="48"/>
        <w:jc w:val="right"/>
        <w:rPr>
          <w:sz w:val="22"/>
          <w:szCs w:val="22"/>
        </w:rPr>
      </w:pPr>
      <w:r w:rsidRPr="00067ECC">
        <w:rPr>
          <w:rFonts w:hAnsi="標楷體" w:hint="eastAsia"/>
          <w:sz w:val="22"/>
          <w:szCs w:val="22"/>
        </w:rPr>
        <w:t>業經</w:t>
      </w:r>
      <w:r w:rsidRPr="00067ECC">
        <w:rPr>
          <w:rFonts w:hint="eastAsia"/>
          <w:sz w:val="22"/>
          <w:szCs w:val="22"/>
        </w:rPr>
        <w:t>105</w:t>
      </w:r>
      <w:r w:rsidRPr="00067ECC">
        <w:rPr>
          <w:rFonts w:hAnsi="標楷體" w:hint="eastAsia"/>
          <w:sz w:val="22"/>
          <w:szCs w:val="22"/>
        </w:rPr>
        <w:t>學年度第</w:t>
      </w:r>
      <w:r w:rsidRPr="00067ECC">
        <w:rPr>
          <w:rFonts w:hAnsi="標楷體" w:hint="eastAsia"/>
          <w:sz w:val="22"/>
          <w:szCs w:val="22"/>
        </w:rPr>
        <w:t>2</w:t>
      </w:r>
      <w:r w:rsidRPr="00067ECC">
        <w:rPr>
          <w:rFonts w:hAnsi="標楷體" w:hint="eastAsia"/>
          <w:sz w:val="22"/>
          <w:szCs w:val="22"/>
        </w:rPr>
        <w:t>學期第</w:t>
      </w:r>
      <w:r w:rsidRPr="00067ECC">
        <w:rPr>
          <w:rFonts w:hAnsi="標楷體" w:hint="eastAsia"/>
          <w:sz w:val="22"/>
          <w:szCs w:val="22"/>
        </w:rPr>
        <w:t>3</w:t>
      </w:r>
      <w:r w:rsidRPr="00067ECC">
        <w:rPr>
          <w:rFonts w:hAnsi="標楷體" w:hint="eastAsia"/>
          <w:sz w:val="22"/>
          <w:szCs w:val="22"/>
        </w:rPr>
        <w:t>次電通系務會議</w:t>
      </w:r>
      <w:r w:rsidRPr="00067ECC">
        <w:rPr>
          <w:rFonts w:hAnsi="標楷體"/>
          <w:sz w:val="22"/>
          <w:szCs w:val="22"/>
        </w:rPr>
        <w:t>修訂</w:t>
      </w:r>
      <w:r w:rsidRPr="00067ECC">
        <w:rPr>
          <w:rFonts w:hAnsi="標楷體" w:hint="eastAsia"/>
          <w:sz w:val="22"/>
          <w:szCs w:val="22"/>
        </w:rPr>
        <w:t>通過</w:t>
      </w:r>
      <w:r w:rsidRPr="00067ECC">
        <w:rPr>
          <w:rFonts w:hAnsi="標楷體" w:hint="eastAsia"/>
          <w:sz w:val="22"/>
          <w:szCs w:val="22"/>
        </w:rPr>
        <w:t>(</w:t>
      </w:r>
      <w:r w:rsidRPr="00067ECC">
        <w:rPr>
          <w:rFonts w:hint="eastAsia"/>
          <w:sz w:val="22"/>
          <w:szCs w:val="22"/>
        </w:rPr>
        <w:t>106</w:t>
      </w:r>
      <w:r w:rsidRPr="00067ECC">
        <w:rPr>
          <w:sz w:val="22"/>
          <w:szCs w:val="22"/>
        </w:rPr>
        <w:t>.</w:t>
      </w:r>
      <w:r w:rsidRPr="00067ECC">
        <w:rPr>
          <w:rFonts w:hint="eastAsia"/>
          <w:sz w:val="22"/>
          <w:szCs w:val="22"/>
        </w:rPr>
        <w:t>3.22)</w:t>
      </w:r>
    </w:p>
    <w:p w:rsidR="003B4DCA" w:rsidRDefault="003B4DCA" w:rsidP="003B4DCA">
      <w:pPr>
        <w:spacing w:after="0" w:line="240" w:lineRule="auto"/>
        <w:ind w:rightChars="17" w:right="48"/>
        <w:jc w:val="right"/>
        <w:rPr>
          <w:sz w:val="22"/>
          <w:szCs w:val="22"/>
        </w:rPr>
      </w:pPr>
      <w:r w:rsidRPr="00601B08">
        <w:rPr>
          <w:rFonts w:hint="eastAsia"/>
          <w:sz w:val="22"/>
          <w:szCs w:val="22"/>
        </w:rPr>
        <w:t>業經</w:t>
      </w:r>
      <w:r>
        <w:rPr>
          <w:rFonts w:hAnsi="標楷體" w:hint="eastAsia"/>
          <w:sz w:val="22"/>
          <w:szCs w:val="22"/>
        </w:rPr>
        <w:t>105</w:t>
      </w:r>
      <w:r w:rsidRPr="00601B08">
        <w:rPr>
          <w:rFonts w:hAnsi="標楷體" w:hint="eastAsia"/>
          <w:sz w:val="22"/>
          <w:szCs w:val="22"/>
        </w:rPr>
        <w:t>學年度第</w:t>
      </w:r>
      <w:r>
        <w:rPr>
          <w:rFonts w:hAnsi="標楷體" w:hint="eastAsia"/>
          <w:sz w:val="22"/>
          <w:szCs w:val="22"/>
        </w:rPr>
        <w:t>4</w:t>
      </w:r>
      <w:r w:rsidRPr="00601B08">
        <w:rPr>
          <w:rFonts w:hAnsi="標楷體" w:hint="eastAsia"/>
          <w:sz w:val="22"/>
          <w:szCs w:val="22"/>
        </w:rPr>
        <w:t>次工科博士班班務會議決議通過</w:t>
      </w:r>
      <w:r w:rsidRPr="00601B08">
        <w:rPr>
          <w:rFonts w:hAnsi="標楷體" w:hint="eastAsia"/>
          <w:sz w:val="22"/>
          <w:szCs w:val="22"/>
        </w:rPr>
        <w:t>(</w:t>
      </w:r>
      <w:r w:rsidRPr="00601B08">
        <w:rPr>
          <w:rFonts w:hint="eastAsia"/>
          <w:sz w:val="22"/>
          <w:szCs w:val="22"/>
        </w:rPr>
        <w:t>10</w:t>
      </w:r>
      <w:r>
        <w:rPr>
          <w:sz w:val="22"/>
          <w:szCs w:val="22"/>
        </w:rPr>
        <w:t>6</w:t>
      </w:r>
      <w:r w:rsidRPr="00601B08">
        <w:rPr>
          <w:sz w:val="22"/>
          <w:szCs w:val="22"/>
        </w:rPr>
        <w:t>.</w:t>
      </w:r>
      <w:r w:rsidRPr="00601B08">
        <w:rPr>
          <w:rFonts w:hint="eastAsia"/>
          <w:sz w:val="22"/>
          <w:szCs w:val="22"/>
        </w:rPr>
        <w:t>0</w:t>
      </w:r>
      <w:r>
        <w:rPr>
          <w:sz w:val="22"/>
          <w:szCs w:val="22"/>
        </w:rPr>
        <w:t>4</w:t>
      </w:r>
      <w:r w:rsidRPr="00601B08">
        <w:rPr>
          <w:rFonts w:hint="eastAsia"/>
          <w:sz w:val="22"/>
          <w:szCs w:val="22"/>
        </w:rPr>
        <w:t>.</w:t>
      </w:r>
      <w:r>
        <w:rPr>
          <w:sz w:val="22"/>
          <w:szCs w:val="22"/>
        </w:rPr>
        <w:t>28</w:t>
      </w:r>
      <w:r w:rsidRPr="00601B08">
        <w:rPr>
          <w:rFonts w:hint="eastAsia"/>
          <w:sz w:val="22"/>
          <w:szCs w:val="22"/>
        </w:rPr>
        <w:t>)</w:t>
      </w:r>
    </w:p>
    <w:p w:rsidR="003B4DCA" w:rsidRPr="00E93C43" w:rsidRDefault="003B4DCA" w:rsidP="003B4DCA">
      <w:pPr>
        <w:tabs>
          <w:tab w:val="right" w:pos="9900"/>
        </w:tabs>
        <w:spacing w:after="0" w:line="240" w:lineRule="auto"/>
        <w:ind w:rightChars="15" w:right="42"/>
        <w:jc w:val="right"/>
      </w:pPr>
      <w:r>
        <w:rPr>
          <w:rFonts w:ascii="Times" w:hAnsi="Times" w:hint="eastAsia"/>
          <w:color w:val="FF0000"/>
          <w:sz w:val="20"/>
          <w:u w:val="single"/>
        </w:rPr>
        <w:t>業經</w:t>
      </w:r>
      <w:r w:rsidRPr="00CA53B6">
        <w:rPr>
          <w:rFonts w:ascii="Times" w:hAnsi="Times"/>
          <w:color w:val="FF0000"/>
          <w:sz w:val="20"/>
          <w:u w:val="single"/>
        </w:rPr>
        <w:t>10</w:t>
      </w:r>
      <w:r w:rsidRPr="00CA53B6">
        <w:rPr>
          <w:rFonts w:ascii="Times" w:hAnsi="Times" w:hint="eastAsia"/>
          <w:color w:val="FF0000"/>
          <w:sz w:val="20"/>
          <w:u w:val="single"/>
        </w:rPr>
        <w:t>6</w:t>
      </w:r>
      <w:r w:rsidRPr="00CA53B6">
        <w:rPr>
          <w:rFonts w:ascii="Times" w:hAnsi="Times"/>
          <w:color w:val="FF0000"/>
          <w:sz w:val="20"/>
          <w:u w:val="single"/>
        </w:rPr>
        <w:t>學年度第</w:t>
      </w:r>
      <w:r w:rsidRPr="00CA53B6">
        <w:rPr>
          <w:rFonts w:ascii="Times" w:hAnsi="Times" w:hint="eastAsia"/>
          <w:color w:val="FF0000"/>
          <w:sz w:val="20"/>
          <w:u w:val="single"/>
        </w:rPr>
        <w:t>9</w:t>
      </w:r>
      <w:r w:rsidRPr="00CA53B6">
        <w:rPr>
          <w:rFonts w:ascii="Times" w:hAnsi="Times"/>
          <w:color w:val="FF0000"/>
          <w:sz w:val="20"/>
          <w:u w:val="single"/>
        </w:rPr>
        <w:t>次電通系務會議修正通過</w:t>
      </w:r>
      <w:r w:rsidRPr="00CA53B6">
        <w:rPr>
          <w:rFonts w:ascii="Times" w:hAnsi="Times"/>
          <w:color w:val="FF0000"/>
          <w:sz w:val="20"/>
          <w:u w:val="single"/>
        </w:rPr>
        <w:t>(106.</w:t>
      </w:r>
      <w:r w:rsidRPr="00CA53B6">
        <w:rPr>
          <w:rFonts w:ascii="Times" w:hAnsi="Times" w:hint="eastAsia"/>
          <w:color w:val="FF0000"/>
          <w:sz w:val="20"/>
          <w:u w:val="single"/>
        </w:rPr>
        <w:t>11</w:t>
      </w:r>
      <w:r w:rsidRPr="00CA53B6">
        <w:rPr>
          <w:rFonts w:ascii="Times" w:hAnsi="Times"/>
          <w:color w:val="FF0000"/>
          <w:sz w:val="20"/>
          <w:u w:val="single"/>
        </w:rPr>
        <w:t>.</w:t>
      </w:r>
      <w:r w:rsidRPr="00CA53B6">
        <w:rPr>
          <w:rFonts w:ascii="Times" w:hAnsi="Times" w:hint="eastAsia"/>
          <w:color w:val="FF0000"/>
          <w:sz w:val="20"/>
          <w:u w:val="single"/>
        </w:rPr>
        <w:t>16</w:t>
      </w:r>
      <w:r w:rsidRPr="00CA53B6">
        <w:rPr>
          <w:rFonts w:ascii="Times" w:hAnsi="Times"/>
          <w:color w:val="FF0000"/>
          <w:sz w:val="20"/>
          <w:u w:val="single"/>
        </w:rPr>
        <w:t xml:space="preserve"> )</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047"/>
      </w:tblGrid>
      <w:tr w:rsidR="003B4DCA" w:rsidRPr="003B4DCA" w:rsidTr="007E46D7">
        <w:trPr>
          <w:trHeight w:val="518"/>
          <w:jc w:val="center"/>
        </w:trPr>
        <w:tc>
          <w:tcPr>
            <w:tcW w:w="2231" w:type="dxa"/>
            <w:shd w:val="clear" w:color="auto" w:fill="C0C0C0"/>
            <w:vAlign w:val="center"/>
          </w:tcPr>
          <w:p w:rsidR="003B4DCA" w:rsidRPr="003B4DCA" w:rsidRDefault="003B4DCA" w:rsidP="007E46D7">
            <w:pPr>
              <w:spacing w:after="0" w:line="240" w:lineRule="auto"/>
              <w:jc w:val="center"/>
              <w:rPr>
                <w:sz w:val="24"/>
                <w:szCs w:val="24"/>
              </w:rPr>
            </w:pPr>
            <w:r w:rsidRPr="003B4DCA">
              <w:rPr>
                <w:rFonts w:hAnsi="標楷體"/>
                <w:sz w:val="24"/>
                <w:szCs w:val="24"/>
              </w:rPr>
              <w:t>考試科目</w:t>
            </w:r>
          </w:p>
        </w:tc>
        <w:tc>
          <w:tcPr>
            <w:tcW w:w="8047" w:type="dxa"/>
            <w:shd w:val="clear" w:color="auto" w:fill="C0C0C0"/>
            <w:vAlign w:val="center"/>
          </w:tcPr>
          <w:p w:rsidR="003B4DCA" w:rsidRPr="003B4DCA" w:rsidRDefault="003B4DCA" w:rsidP="007E46D7">
            <w:pPr>
              <w:spacing w:after="0" w:line="240" w:lineRule="auto"/>
              <w:jc w:val="center"/>
              <w:rPr>
                <w:sz w:val="24"/>
                <w:szCs w:val="24"/>
              </w:rPr>
            </w:pPr>
            <w:r w:rsidRPr="003B4DCA">
              <w:rPr>
                <w:rFonts w:hAnsi="標楷體"/>
                <w:sz w:val="24"/>
                <w:szCs w:val="24"/>
              </w:rPr>
              <w:t>用書及範圍</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線性代數</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Steven J. Leon, </w:t>
            </w:r>
            <w:r w:rsidRPr="003B4DCA">
              <w:rPr>
                <w:rFonts w:ascii="Times" w:hAnsi="Times"/>
                <w:i/>
                <w:sz w:val="24"/>
                <w:szCs w:val="24"/>
              </w:rPr>
              <w:t>Linear Algebra with Applications</w:t>
            </w:r>
            <w:r w:rsidRPr="003B4DCA">
              <w:rPr>
                <w:rFonts w:ascii="Times" w:hAnsi="Times"/>
                <w:sz w:val="24"/>
                <w:szCs w:val="24"/>
              </w:rPr>
              <w:t xml:space="preserve">, 9th ed. (Global Edition), Pearson Prentice Hall, 2015. </w:t>
            </w:r>
            <w:r w:rsidRPr="003B4DCA">
              <w:rPr>
                <w:rFonts w:ascii="Times" w:hAnsi="Times"/>
                <w:sz w:val="24"/>
                <w:szCs w:val="24"/>
              </w:rPr>
              <w:t>範圍：</w:t>
            </w:r>
            <w:r w:rsidRPr="003B4DCA">
              <w:rPr>
                <w:rFonts w:ascii="Times" w:hAnsi="Times"/>
                <w:sz w:val="24"/>
                <w:szCs w:val="24"/>
              </w:rPr>
              <w:t>Chapter 1, 2, 3, 4 (all sections), Chapter 5 (section 1, 2, 3, 5, 6), Chapter 6 (section 1, 3, 4)</w:t>
            </w:r>
          </w:p>
        </w:tc>
      </w:tr>
      <w:tr w:rsidR="003B4DCA" w:rsidRPr="003B4DCA" w:rsidTr="007E46D7">
        <w:trPr>
          <w:trHeight w:val="923"/>
          <w:jc w:val="center"/>
        </w:trPr>
        <w:tc>
          <w:tcPr>
            <w:tcW w:w="2231" w:type="dxa"/>
            <w:shd w:val="clear" w:color="auto" w:fill="auto"/>
            <w:vAlign w:val="center"/>
          </w:tcPr>
          <w:p w:rsidR="003B4DCA" w:rsidRPr="003B4DCA" w:rsidRDefault="003B4DCA" w:rsidP="007E46D7">
            <w:pPr>
              <w:spacing w:after="0" w:line="240" w:lineRule="auto"/>
              <w:rPr>
                <w:b/>
                <w:color w:val="FF0000"/>
                <w:sz w:val="24"/>
                <w:szCs w:val="24"/>
                <w:u w:val="single"/>
                <w:shd w:val="pct15" w:color="auto" w:fill="FFFFFF"/>
              </w:rPr>
            </w:pPr>
            <w:r w:rsidRPr="003B4DCA">
              <w:rPr>
                <w:rFonts w:hAnsi="標楷體"/>
                <w:spacing w:val="10"/>
                <w:sz w:val="24"/>
                <w:szCs w:val="24"/>
              </w:rPr>
              <w:t>隨機變數與統計</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Alberto Leon-Garcia,</w:t>
            </w:r>
            <w:r w:rsidRPr="003B4DCA">
              <w:rPr>
                <w:rFonts w:ascii="Times" w:hAnsi="Times"/>
                <w:i/>
                <w:sz w:val="24"/>
                <w:szCs w:val="24"/>
              </w:rPr>
              <w:t xml:space="preserve"> Probability, Statistics, and Random Processes for Electrical Engineering</w:t>
            </w:r>
            <w:r w:rsidRPr="003B4DCA">
              <w:rPr>
                <w:rFonts w:ascii="Times" w:hAnsi="Times"/>
                <w:sz w:val="24"/>
                <w:szCs w:val="24"/>
              </w:rPr>
              <w:t xml:space="preserve">, 3rd ed., Prentice Hall, 2008. </w:t>
            </w:r>
          </w:p>
          <w:p w:rsidR="003B4DCA" w:rsidRPr="003B4DCA" w:rsidRDefault="003B4DCA" w:rsidP="007E46D7">
            <w:pPr>
              <w:spacing w:after="0" w:line="240" w:lineRule="auto"/>
              <w:rPr>
                <w:rFonts w:ascii="Times" w:hAnsi="Times"/>
                <w:sz w:val="24"/>
                <w:szCs w:val="24"/>
              </w:rPr>
            </w:pPr>
            <w:r w:rsidRPr="003B4DCA">
              <w:rPr>
                <w:rFonts w:ascii="Times" w:hAnsi="Times"/>
                <w:sz w:val="24"/>
                <w:szCs w:val="24"/>
              </w:rPr>
              <w:t>範圍：</w:t>
            </w:r>
            <w:r w:rsidRPr="003B4DCA">
              <w:rPr>
                <w:rFonts w:ascii="Times" w:hAnsi="Times"/>
                <w:sz w:val="24"/>
                <w:szCs w:val="24"/>
              </w:rPr>
              <w:t>Ch3.1~3.5, Ch4.1~4.7, Ch5.1~5.9, Ch6.1~6.4, Ch7.1~7.3</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電子學</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Behzad Razavi, </w:t>
            </w:r>
            <w:r w:rsidRPr="003B4DCA">
              <w:rPr>
                <w:rFonts w:ascii="Times" w:hAnsi="Times"/>
                <w:i/>
                <w:sz w:val="24"/>
                <w:szCs w:val="24"/>
              </w:rPr>
              <w:t>Fundamentals of Microelectronics</w:t>
            </w:r>
            <w:r w:rsidRPr="003B4DCA">
              <w:rPr>
                <w:rFonts w:ascii="Times" w:hAnsi="Times"/>
                <w:sz w:val="24"/>
                <w:szCs w:val="24"/>
              </w:rPr>
              <w:t>, 2nd ed., John Wiley &amp; Sons, 2012.</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作業系統</w:t>
            </w:r>
          </w:p>
        </w:tc>
        <w:tc>
          <w:tcPr>
            <w:tcW w:w="8047" w:type="dxa"/>
            <w:shd w:val="clear" w:color="auto" w:fill="auto"/>
          </w:tcPr>
          <w:p w:rsidR="003B4DCA" w:rsidRPr="003B4DCA" w:rsidRDefault="003B4DCA" w:rsidP="007E46D7">
            <w:pPr>
              <w:widowControl/>
              <w:spacing w:after="0" w:line="240" w:lineRule="auto"/>
              <w:rPr>
                <w:rFonts w:ascii="Times" w:hAnsi="Times"/>
                <w:sz w:val="24"/>
                <w:szCs w:val="24"/>
              </w:rPr>
            </w:pPr>
            <w:r w:rsidRPr="003B4DCA">
              <w:rPr>
                <w:rFonts w:ascii="Times" w:hAnsi="Times"/>
                <w:sz w:val="24"/>
                <w:szCs w:val="24"/>
              </w:rPr>
              <w:t>Abraham Silberschatz, Peter Baer Galvin, and Greg Gagne, </w:t>
            </w:r>
            <w:r w:rsidRPr="003B4DCA">
              <w:rPr>
                <w:rFonts w:ascii="Times" w:hAnsi="Times"/>
                <w:i/>
                <w:iCs/>
                <w:sz w:val="24"/>
                <w:szCs w:val="24"/>
              </w:rPr>
              <w:t>Operating System Concepts</w:t>
            </w:r>
            <w:r w:rsidRPr="003B4DCA">
              <w:rPr>
                <w:rFonts w:ascii="Times" w:hAnsi="Times"/>
                <w:sz w:val="24"/>
                <w:szCs w:val="24"/>
              </w:rPr>
              <w:t>, 9th International student edition, John Wiley &amp; Sons (Asia), 2014 .(</w:t>
            </w:r>
            <w:r w:rsidRPr="003B4DCA">
              <w:rPr>
                <w:rFonts w:ascii="Times" w:hAnsi="Times"/>
                <w:sz w:val="24"/>
                <w:szCs w:val="24"/>
              </w:rPr>
              <w:t>新月代理</w:t>
            </w:r>
            <w:r w:rsidRPr="003B4DCA">
              <w:rPr>
                <w:rFonts w:ascii="Times" w:hAnsi="Times"/>
                <w:sz w:val="24"/>
                <w:szCs w:val="24"/>
              </w:rPr>
              <w:t>) </w:t>
            </w:r>
            <w:r w:rsidRPr="003B4DCA">
              <w:rPr>
                <w:rFonts w:ascii="Times" w:hAnsi="Times" w:hint="eastAsia"/>
                <w:sz w:val="24"/>
                <w:szCs w:val="24"/>
              </w:rPr>
              <w:t xml:space="preserve"> </w:t>
            </w:r>
            <w:r w:rsidRPr="003B4DCA">
              <w:rPr>
                <w:rFonts w:ascii="Times" w:hAnsi="Times"/>
                <w:sz w:val="24"/>
                <w:szCs w:val="24"/>
              </w:rPr>
              <w:t>範圍：</w:t>
            </w:r>
            <w:r w:rsidRPr="003B4DCA">
              <w:rPr>
                <w:rFonts w:ascii="Times" w:hAnsi="Times"/>
                <w:sz w:val="24"/>
                <w:szCs w:val="24"/>
              </w:rPr>
              <w:t>Part One~Part Five</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通訊原理</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Bruce Carlson, </w:t>
            </w:r>
            <w:r w:rsidRPr="003B4DCA">
              <w:rPr>
                <w:rFonts w:ascii="Times" w:hAnsi="Times"/>
                <w:i/>
                <w:sz w:val="24"/>
                <w:szCs w:val="24"/>
              </w:rPr>
              <w:t>Communication Systems</w:t>
            </w:r>
            <w:r w:rsidRPr="003B4DCA">
              <w:rPr>
                <w:rFonts w:ascii="Times" w:hAnsi="Times"/>
                <w:sz w:val="24"/>
                <w:szCs w:val="24"/>
              </w:rPr>
              <w:t xml:space="preserve">, </w:t>
            </w:r>
            <w:r w:rsidRPr="003B4DCA">
              <w:rPr>
                <w:rFonts w:ascii="Times" w:hAnsi="Times" w:hint="eastAsia"/>
                <w:sz w:val="24"/>
                <w:szCs w:val="24"/>
              </w:rPr>
              <w:t>5</w:t>
            </w:r>
            <w:r w:rsidRPr="003B4DCA">
              <w:rPr>
                <w:rFonts w:ascii="Times" w:hAnsi="Times"/>
                <w:sz w:val="24"/>
                <w:szCs w:val="24"/>
              </w:rPr>
              <w:t xml:space="preserve">th ed., McGraw-Hill. </w:t>
            </w:r>
          </w:p>
          <w:p w:rsidR="003B4DCA" w:rsidRPr="003B4DCA" w:rsidRDefault="003B4DCA" w:rsidP="007E46D7">
            <w:pPr>
              <w:spacing w:after="0" w:line="240" w:lineRule="auto"/>
              <w:rPr>
                <w:rFonts w:ascii="Times" w:hAnsi="Times"/>
                <w:sz w:val="24"/>
                <w:szCs w:val="24"/>
              </w:rPr>
            </w:pPr>
            <w:r w:rsidRPr="003B4DCA">
              <w:rPr>
                <w:rFonts w:ascii="Times" w:hAnsi="Times"/>
                <w:sz w:val="24"/>
                <w:szCs w:val="24"/>
              </w:rPr>
              <w:t>範圍：</w:t>
            </w:r>
            <w:r w:rsidRPr="003B4DCA">
              <w:rPr>
                <w:rFonts w:ascii="Times" w:hAnsi="Times"/>
                <w:sz w:val="24"/>
                <w:szCs w:val="24"/>
              </w:rPr>
              <w:t>Ch1~Ch6, Ch11, Ch14.</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訊號與系統</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J. H. McClellan, R. W. Schafer and M. A. Yoder, </w:t>
            </w:r>
            <w:r w:rsidRPr="003B4DCA">
              <w:rPr>
                <w:rFonts w:ascii="Times" w:hAnsi="Times"/>
                <w:sz w:val="24"/>
                <w:szCs w:val="24"/>
              </w:rPr>
              <w:br/>
              <w:t>"DSP First" Global Edition, 2/E, </w:t>
            </w:r>
            <w:r w:rsidRPr="003B4DCA">
              <w:rPr>
                <w:rFonts w:ascii="Times" w:hAnsi="Times"/>
                <w:sz w:val="24"/>
                <w:szCs w:val="24"/>
              </w:rPr>
              <w:br/>
              <w:t>Pearson Education, Inc., Hoboken, NJ, USA, 2016. (</w:t>
            </w:r>
            <w:r w:rsidRPr="003B4DCA">
              <w:rPr>
                <w:rFonts w:ascii="Times" w:hAnsi="Times"/>
                <w:sz w:val="24"/>
                <w:szCs w:val="24"/>
              </w:rPr>
              <w:t>開發代理</w:t>
            </w:r>
            <w:r w:rsidRPr="003B4DCA">
              <w:rPr>
                <w:rFonts w:ascii="Times" w:hAnsi="Times"/>
                <w:sz w:val="24"/>
                <w:szCs w:val="24"/>
              </w:rPr>
              <w:t>)</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電腦演算法</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R.C.T. Lee, S.S. Tseng, R.C. Chang, Y.T. Tsai, Introduction to the Design and Analysis of Algorithms: A Strategic Approach, McGraw-Hill, International Edition, 2008.</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計算機組織</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D.A. Patterson and J.L. Hennessy, </w:t>
            </w:r>
            <w:r w:rsidRPr="003B4DCA">
              <w:rPr>
                <w:rFonts w:ascii="Times" w:hAnsi="Times"/>
                <w:i/>
                <w:sz w:val="24"/>
                <w:szCs w:val="24"/>
              </w:rPr>
              <w:t>Computer Organization and Design: The Hardware/Software Interface</w:t>
            </w:r>
            <w:r w:rsidRPr="003B4DCA">
              <w:rPr>
                <w:rFonts w:ascii="Times" w:hAnsi="Times"/>
                <w:sz w:val="24"/>
                <w:szCs w:val="24"/>
              </w:rPr>
              <w:t xml:space="preserve">, </w:t>
            </w:r>
            <w:r w:rsidRPr="003B4DCA">
              <w:rPr>
                <w:rFonts w:ascii="Times" w:hAnsi="Times" w:hint="eastAsia"/>
                <w:sz w:val="24"/>
                <w:szCs w:val="24"/>
              </w:rPr>
              <w:t>5</w:t>
            </w:r>
            <w:r w:rsidRPr="003B4DCA">
              <w:rPr>
                <w:rFonts w:ascii="Times" w:hAnsi="Times"/>
                <w:sz w:val="24"/>
                <w:szCs w:val="24"/>
              </w:rPr>
              <w:t>th ed., Morgan Kaufmann, 20</w:t>
            </w:r>
            <w:r w:rsidRPr="003B4DCA">
              <w:rPr>
                <w:rFonts w:ascii="Times" w:hAnsi="Times" w:hint="eastAsia"/>
                <w:sz w:val="24"/>
                <w:szCs w:val="24"/>
              </w:rPr>
              <w:t>14</w:t>
            </w:r>
            <w:r w:rsidRPr="003B4DCA">
              <w:rPr>
                <w:rFonts w:ascii="Times" w:hAnsi="Times"/>
                <w:sz w:val="24"/>
                <w:szCs w:val="24"/>
              </w:rPr>
              <w:t xml:space="preserve">.  </w:t>
            </w:r>
          </w:p>
          <w:p w:rsidR="003B4DCA" w:rsidRPr="003B4DCA" w:rsidRDefault="003B4DCA" w:rsidP="007E46D7">
            <w:pPr>
              <w:spacing w:after="0" w:line="240" w:lineRule="auto"/>
              <w:rPr>
                <w:rFonts w:ascii="Times" w:hAnsi="Times"/>
                <w:sz w:val="24"/>
                <w:szCs w:val="24"/>
              </w:rPr>
            </w:pPr>
            <w:r w:rsidRPr="003B4DCA">
              <w:rPr>
                <w:rFonts w:ascii="Times" w:hAnsi="Times"/>
                <w:sz w:val="24"/>
                <w:szCs w:val="24"/>
              </w:rPr>
              <w:t>範圍：</w:t>
            </w:r>
            <w:r w:rsidRPr="003B4DCA">
              <w:rPr>
                <w:rFonts w:ascii="Times" w:hAnsi="Times"/>
                <w:sz w:val="24"/>
                <w:szCs w:val="24"/>
              </w:rPr>
              <w:t>Ch.1~6.</w:t>
            </w:r>
          </w:p>
        </w:tc>
      </w:tr>
      <w:tr w:rsidR="003B4DCA" w:rsidRPr="003B4DCA" w:rsidTr="007E46D7">
        <w:trPr>
          <w:trHeight w:val="513"/>
          <w:jc w:val="center"/>
        </w:trPr>
        <w:tc>
          <w:tcPr>
            <w:tcW w:w="2231" w:type="dxa"/>
            <w:tcBorders>
              <w:top w:val="single" w:sz="4" w:space="0" w:color="FFFF00"/>
            </w:tcBorders>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離散數學</w:t>
            </w:r>
          </w:p>
        </w:tc>
        <w:tc>
          <w:tcPr>
            <w:tcW w:w="8047" w:type="dxa"/>
            <w:tcBorders>
              <w:top w:val="single" w:sz="4" w:space="0" w:color="FFFF00"/>
            </w:tcBorders>
            <w:shd w:val="clear" w:color="auto" w:fill="auto"/>
          </w:tcPr>
          <w:p w:rsidR="003B4DCA" w:rsidRPr="003B4DCA" w:rsidRDefault="003B4DCA" w:rsidP="007E46D7">
            <w:pPr>
              <w:spacing w:after="0" w:line="240" w:lineRule="auto"/>
              <w:rPr>
                <w:sz w:val="24"/>
                <w:szCs w:val="24"/>
              </w:rPr>
            </w:pPr>
            <w:r w:rsidRPr="003B4DCA">
              <w:rPr>
                <w:sz w:val="24"/>
                <w:szCs w:val="24"/>
              </w:rPr>
              <w:t xml:space="preserve">R.P. Grimaldi, </w:t>
            </w:r>
            <w:r w:rsidRPr="003B4DCA">
              <w:rPr>
                <w:i/>
                <w:sz w:val="24"/>
                <w:szCs w:val="24"/>
              </w:rPr>
              <w:t>Discrete and Combinatorial Mathematics: An Applied Introduction</w:t>
            </w:r>
            <w:r w:rsidRPr="003B4DCA">
              <w:rPr>
                <w:sz w:val="24"/>
                <w:szCs w:val="24"/>
              </w:rPr>
              <w:t xml:space="preserve">, </w:t>
            </w:r>
            <w:r w:rsidRPr="003B4DCA">
              <w:rPr>
                <w:rFonts w:hint="eastAsia"/>
                <w:sz w:val="24"/>
                <w:szCs w:val="24"/>
              </w:rPr>
              <w:t>5th</w:t>
            </w:r>
            <w:r w:rsidRPr="003B4DCA">
              <w:rPr>
                <w:sz w:val="24"/>
                <w:szCs w:val="24"/>
              </w:rPr>
              <w:t xml:space="preserve"> </w:t>
            </w:r>
            <w:r w:rsidRPr="003B4DCA">
              <w:rPr>
                <w:rFonts w:hint="eastAsia"/>
                <w:sz w:val="24"/>
                <w:szCs w:val="24"/>
              </w:rPr>
              <w:t>ed.</w:t>
            </w:r>
            <w:r w:rsidRPr="003B4DCA">
              <w:rPr>
                <w:sz w:val="24"/>
                <w:szCs w:val="24"/>
              </w:rPr>
              <w:t>, Pearson, 2004.</w:t>
            </w:r>
            <w:r w:rsidRPr="003B4DCA">
              <w:rPr>
                <w:rFonts w:hint="eastAsia"/>
                <w:sz w:val="24"/>
                <w:szCs w:val="24"/>
              </w:rPr>
              <w:t xml:space="preserve"> </w:t>
            </w:r>
            <w:r w:rsidRPr="003B4DCA">
              <w:rPr>
                <w:rFonts w:hAnsi="標楷體"/>
                <w:sz w:val="24"/>
                <w:szCs w:val="24"/>
              </w:rPr>
              <w:t>範圍：</w:t>
            </w:r>
            <w:r w:rsidRPr="003B4DCA">
              <w:rPr>
                <w:rFonts w:hint="eastAsia"/>
                <w:sz w:val="24"/>
                <w:szCs w:val="24"/>
              </w:rPr>
              <w:t>Ch.1~10.</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int="eastAsia"/>
                <w:sz w:val="24"/>
                <w:szCs w:val="24"/>
              </w:rPr>
              <w:t>資料庫系統</w:t>
            </w:r>
          </w:p>
        </w:tc>
        <w:tc>
          <w:tcPr>
            <w:tcW w:w="8047" w:type="dxa"/>
            <w:shd w:val="clear" w:color="auto" w:fill="auto"/>
          </w:tcPr>
          <w:p w:rsidR="003B4DCA" w:rsidRPr="003B4DCA" w:rsidRDefault="003B4DCA" w:rsidP="007E46D7">
            <w:pPr>
              <w:spacing w:after="0" w:line="240" w:lineRule="auto"/>
              <w:rPr>
                <w:sz w:val="24"/>
                <w:szCs w:val="24"/>
              </w:rPr>
            </w:pPr>
            <w:r w:rsidRPr="003B4DCA">
              <w:rPr>
                <w:rFonts w:hint="eastAsia"/>
                <w:sz w:val="24"/>
                <w:szCs w:val="24"/>
              </w:rPr>
              <w:t>Abraham Silberschatz and Henry F. Korth, Database System Concepts, 6th ed., Mc Graw Hill, 2011. (</w:t>
            </w:r>
            <w:r w:rsidRPr="003B4DCA">
              <w:rPr>
                <w:rFonts w:hint="eastAsia"/>
                <w:sz w:val="24"/>
                <w:szCs w:val="24"/>
              </w:rPr>
              <w:t>新月圖書代理</w:t>
            </w:r>
            <w:r w:rsidRPr="003B4DCA">
              <w:rPr>
                <w:rFonts w:hint="eastAsia"/>
                <w:sz w:val="24"/>
                <w:szCs w:val="24"/>
              </w:rPr>
              <w:t>)</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資料結構</w:t>
            </w:r>
          </w:p>
        </w:tc>
        <w:tc>
          <w:tcPr>
            <w:tcW w:w="8047" w:type="dxa"/>
            <w:shd w:val="clear" w:color="auto" w:fill="auto"/>
          </w:tcPr>
          <w:p w:rsidR="003B4DCA" w:rsidRPr="003B4DCA" w:rsidRDefault="00F8596A" w:rsidP="007E46D7">
            <w:pPr>
              <w:widowControl/>
              <w:spacing w:after="0" w:line="240" w:lineRule="auto"/>
              <w:rPr>
                <w:sz w:val="24"/>
                <w:szCs w:val="24"/>
              </w:rPr>
            </w:pPr>
            <w:hyperlink r:id="rId6" w:history="1">
              <w:r w:rsidR="003B4DCA" w:rsidRPr="003B4DCA">
                <w:rPr>
                  <w:bCs/>
                  <w:sz w:val="24"/>
                  <w:szCs w:val="24"/>
                </w:rPr>
                <w:t>Ellis Horowitz</w:t>
              </w:r>
            </w:hyperlink>
            <w:r w:rsidR="003B4DCA" w:rsidRPr="003B4DCA">
              <w:rPr>
                <w:bCs/>
                <w:sz w:val="24"/>
                <w:szCs w:val="24"/>
              </w:rPr>
              <w:t xml:space="preserve">, </w:t>
            </w:r>
            <w:hyperlink r:id="rId7" w:history="1">
              <w:r w:rsidR="003B4DCA" w:rsidRPr="003B4DCA">
                <w:rPr>
                  <w:bCs/>
                  <w:sz w:val="24"/>
                  <w:szCs w:val="24"/>
                </w:rPr>
                <w:t>Sartaj Sahni</w:t>
              </w:r>
            </w:hyperlink>
            <w:r w:rsidR="003B4DCA" w:rsidRPr="003B4DCA">
              <w:rPr>
                <w:bCs/>
                <w:sz w:val="24"/>
                <w:szCs w:val="24"/>
              </w:rPr>
              <w:t>,</w:t>
            </w:r>
            <w:r w:rsidR="003B4DCA" w:rsidRPr="003B4DCA">
              <w:rPr>
                <w:rFonts w:hint="eastAsia"/>
                <w:bCs/>
                <w:sz w:val="24"/>
                <w:szCs w:val="24"/>
              </w:rPr>
              <w:t xml:space="preserve"> and</w:t>
            </w:r>
            <w:r w:rsidR="003B4DCA" w:rsidRPr="003B4DCA">
              <w:rPr>
                <w:bCs/>
                <w:sz w:val="24"/>
                <w:szCs w:val="24"/>
              </w:rPr>
              <w:t xml:space="preserve"> </w:t>
            </w:r>
            <w:hyperlink r:id="rId8" w:history="1">
              <w:r w:rsidR="003B4DCA" w:rsidRPr="003B4DCA">
                <w:rPr>
                  <w:bCs/>
                  <w:sz w:val="24"/>
                  <w:szCs w:val="24"/>
                </w:rPr>
                <w:t>Susan Anderson-Freed</w:t>
              </w:r>
            </w:hyperlink>
            <w:r w:rsidR="003B4DCA" w:rsidRPr="003B4DCA">
              <w:rPr>
                <w:rFonts w:hint="eastAsia"/>
                <w:bCs/>
                <w:sz w:val="24"/>
                <w:szCs w:val="24"/>
              </w:rPr>
              <w:t xml:space="preserve">, </w:t>
            </w:r>
            <w:r w:rsidR="003B4DCA" w:rsidRPr="003B4DCA">
              <w:rPr>
                <w:bCs/>
                <w:i/>
                <w:sz w:val="24"/>
                <w:szCs w:val="24"/>
              </w:rPr>
              <w:t>Fundamentals of Data Structures in C</w:t>
            </w:r>
            <w:r w:rsidR="003B4DCA" w:rsidRPr="003B4DCA">
              <w:rPr>
                <w:bCs/>
                <w:sz w:val="24"/>
                <w:szCs w:val="24"/>
              </w:rPr>
              <w:t>,</w:t>
            </w:r>
            <w:r w:rsidR="003B4DCA" w:rsidRPr="003B4DCA">
              <w:rPr>
                <w:rStyle w:val="ptbrand4"/>
                <w:sz w:val="24"/>
                <w:szCs w:val="24"/>
              </w:rPr>
              <w:t xml:space="preserve"> </w:t>
            </w:r>
            <w:r w:rsidR="003B4DCA" w:rsidRPr="003B4DCA">
              <w:rPr>
                <w:sz w:val="24"/>
                <w:szCs w:val="24"/>
              </w:rPr>
              <w:t>2</w:t>
            </w:r>
            <w:r w:rsidR="003B4DCA" w:rsidRPr="003B4DCA">
              <w:rPr>
                <w:rFonts w:hint="eastAsia"/>
                <w:sz w:val="24"/>
                <w:szCs w:val="24"/>
              </w:rPr>
              <w:t>nd</w:t>
            </w:r>
            <w:r w:rsidR="003B4DCA" w:rsidRPr="003B4DCA">
              <w:rPr>
                <w:sz w:val="24"/>
                <w:szCs w:val="24"/>
              </w:rPr>
              <w:t xml:space="preserve"> ed</w:t>
            </w:r>
            <w:r w:rsidR="003B4DCA" w:rsidRPr="003B4DCA">
              <w:rPr>
                <w:rFonts w:hint="eastAsia"/>
                <w:sz w:val="24"/>
                <w:szCs w:val="24"/>
              </w:rPr>
              <w:t>.,</w:t>
            </w:r>
            <w:r w:rsidR="003B4DCA" w:rsidRPr="003B4DCA">
              <w:rPr>
                <w:sz w:val="24"/>
                <w:szCs w:val="24"/>
              </w:rPr>
              <w:t xml:space="preserve"> Silicon Press</w:t>
            </w:r>
            <w:r w:rsidR="003B4DCA" w:rsidRPr="003B4DCA">
              <w:rPr>
                <w:rFonts w:hint="eastAsia"/>
                <w:sz w:val="24"/>
                <w:szCs w:val="24"/>
              </w:rPr>
              <w:t>,</w:t>
            </w:r>
            <w:r w:rsidR="003B4DCA" w:rsidRPr="003B4DCA">
              <w:rPr>
                <w:sz w:val="24"/>
                <w:szCs w:val="24"/>
              </w:rPr>
              <w:t xml:space="preserve"> </w:t>
            </w:r>
            <w:r w:rsidR="003B4DCA" w:rsidRPr="003B4DCA">
              <w:rPr>
                <w:rFonts w:hint="eastAsia"/>
                <w:sz w:val="24"/>
                <w:szCs w:val="24"/>
              </w:rPr>
              <w:t xml:space="preserve">2007. </w:t>
            </w:r>
            <w:r w:rsidR="003B4DCA" w:rsidRPr="003B4DCA">
              <w:rPr>
                <w:sz w:val="24"/>
                <w:szCs w:val="24"/>
              </w:rPr>
              <w:t>(</w:t>
            </w:r>
            <w:r w:rsidR="003B4DCA" w:rsidRPr="003B4DCA">
              <w:rPr>
                <w:rFonts w:hAnsi="標楷體"/>
                <w:sz w:val="24"/>
                <w:szCs w:val="24"/>
              </w:rPr>
              <w:t>開發代理</w:t>
            </w:r>
            <w:r w:rsidR="003B4DCA" w:rsidRPr="003B4DCA">
              <w:rPr>
                <w:sz w:val="24"/>
                <w:szCs w:val="24"/>
              </w:rPr>
              <w:t>)</w:t>
            </w:r>
          </w:p>
        </w:tc>
      </w:tr>
      <w:tr w:rsidR="003B4DCA" w:rsidRPr="003B4DCA" w:rsidTr="007E46D7">
        <w:trPr>
          <w:trHeight w:val="407"/>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數位系統設計</w:t>
            </w:r>
          </w:p>
        </w:tc>
        <w:tc>
          <w:tcPr>
            <w:tcW w:w="8047" w:type="dxa"/>
            <w:shd w:val="clear" w:color="auto" w:fill="auto"/>
            <w:vAlign w:val="center"/>
          </w:tcPr>
          <w:p w:rsidR="003B4DCA" w:rsidRPr="003B4DCA" w:rsidRDefault="003B4DCA" w:rsidP="007E46D7">
            <w:pPr>
              <w:spacing w:after="0" w:line="240" w:lineRule="auto"/>
              <w:jc w:val="both"/>
              <w:rPr>
                <w:sz w:val="24"/>
                <w:szCs w:val="24"/>
              </w:rPr>
            </w:pPr>
            <w:r w:rsidRPr="003B4DCA">
              <w:rPr>
                <w:sz w:val="24"/>
                <w:szCs w:val="24"/>
              </w:rPr>
              <w:t>Volnei A</w:t>
            </w:r>
            <w:r w:rsidRPr="003B4DCA">
              <w:rPr>
                <w:rFonts w:hint="eastAsia"/>
                <w:sz w:val="24"/>
                <w:szCs w:val="24"/>
              </w:rPr>
              <w:t>.</w:t>
            </w:r>
            <w:r w:rsidRPr="003B4DCA">
              <w:rPr>
                <w:sz w:val="24"/>
                <w:szCs w:val="24"/>
              </w:rPr>
              <w:t xml:space="preserve"> Pedroni, </w:t>
            </w:r>
            <w:r w:rsidRPr="003B4DCA">
              <w:rPr>
                <w:i/>
                <w:sz w:val="24"/>
                <w:szCs w:val="24"/>
              </w:rPr>
              <w:t xml:space="preserve">Circuit Design </w:t>
            </w:r>
            <w:r w:rsidRPr="003B4DCA">
              <w:rPr>
                <w:rFonts w:hint="eastAsia"/>
                <w:i/>
                <w:sz w:val="24"/>
                <w:szCs w:val="24"/>
              </w:rPr>
              <w:t>w</w:t>
            </w:r>
            <w:r w:rsidRPr="003B4DCA">
              <w:rPr>
                <w:i/>
                <w:sz w:val="24"/>
                <w:szCs w:val="24"/>
              </w:rPr>
              <w:t>ith VHDL</w:t>
            </w:r>
            <w:r w:rsidRPr="003B4DCA">
              <w:rPr>
                <w:sz w:val="24"/>
                <w:szCs w:val="24"/>
              </w:rPr>
              <w:t>, MIT Press, 2004. (</w:t>
            </w:r>
            <w:r w:rsidRPr="003B4DCA">
              <w:rPr>
                <w:rFonts w:hAnsi="標楷體"/>
                <w:sz w:val="24"/>
                <w:szCs w:val="24"/>
              </w:rPr>
              <w:t>開發代理</w:t>
            </w:r>
            <w:r w:rsidRPr="003B4DCA">
              <w:rPr>
                <w:sz w:val="24"/>
                <w:szCs w:val="24"/>
              </w:rPr>
              <w:t>)</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電路學</w:t>
            </w:r>
          </w:p>
        </w:tc>
        <w:tc>
          <w:tcPr>
            <w:tcW w:w="8047" w:type="dxa"/>
            <w:shd w:val="clear" w:color="auto" w:fill="auto"/>
          </w:tcPr>
          <w:p w:rsidR="003B4DCA" w:rsidRPr="003B4DCA" w:rsidRDefault="003B4DCA" w:rsidP="007E46D7">
            <w:pPr>
              <w:spacing w:after="0" w:line="240" w:lineRule="auto"/>
              <w:rPr>
                <w:sz w:val="24"/>
                <w:szCs w:val="24"/>
              </w:rPr>
            </w:pPr>
            <w:r w:rsidRPr="003B4DCA">
              <w:rPr>
                <w:sz w:val="24"/>
                <w:szCs w:val="24"/>
              </w:rPr>
              <w:t>Raymond A</w:t>
            </w:r>
            <w:r w:rsidRPr="003B4DCA">
              <w:rPr>
                <w:rFonts w:hint="eastAsia"/>
                <w:sz w:val="24"/>
                <w:szCs w:val="24"/>
              </w:rPr>
              <w:t>.</w:t>
            </w:r>
            <w:r w:rsidRPr="003B4DCA">
              <w:rPr>
                <w:sz w:val="24"/>
                <w:szCs w:val="24"/>
              </w:rPr>
              <w:t xml:space="preserve"> DeCarlo </w:t>
            </w:r>
            <w:r w:rsidRPr="003B4DCA">
              <w:rPr>
                <w:rFonts w:hint="eastAsia"/>
                <w:sz w:val="24"/>
                <w:szCs w:val="24"/>
              </w:rPr>
              <w:t>and</w:t>
            </w:r>
            <w:r w:rsidRPr="003B4DCA">
              <w:rPr>
                <w:sz w:val="24"/>
                <w:szCs w:val="24"/>
              </w:rPr>
              <w:t xml:space="preserve"> Pen-Min</w:t>
            </w:r>
            <w:r w:rsidRPr="003B4DCA">
              <w:rPr>
                <w:rFonts w:hint="eastAsia"/>
                <w:sz w:val="24"/>
                <w:szCs w:val="24"/>
              </w:rPr>
              <w:t xml:space="preserve"> Lin, </w:t>
            </w:r>
            <w:r w:rsidRPr="003B4DCA">
              <w:rPr>
                <w:i/>
                <w:sz w:val="24"/>
                <w:szCs w:val="24"/>
              </w:rPr>
              <w:t>Linear Circuit Analysis</w:t>
            </w:r>
            <w:r w:rsidRPr="003B4DCA">
              <w:rPr>
                <w:rFonts w:hint="eastAsia"/>
                <w:sz w:val="24"/>
                <w:szCs w:val="24"/>
              </w:rPr>
              <w:t xml:space="preserve">, </w:t>
            </w:r>
            <w:r w:rsidRPr="003B4DCA">
              <w:rPr>
                <w:sz w:val="24"/>
                <w:szCs w:val="24"/>
              </w:rPr>
              <w:t>2</w:t>
            </w:r>
            <w:r w:rsidRPr="003B4DCA">
              <w:rPr>
                <w:rFonts w:hint="eastAsia"/>
                <w:sz w:val="24"/>
                <w:szCs w:val="24"/>
              </w:rPr>
              <w:t>nd</w:t>
            </w:r>
            <w:r w:rsidRPr="003B4DCA">
              <w:rPr>
                <w:sz w:val="24"/>
                <w:szCs w:val="24"/>
              </w:rPr>
              <w:t xml:space="preserve"> ed</w:t>
            </w:r>
            <w:r w:rsidRPr="003B4DCA">
              <w:rPr>
                <w:rFonts w:hint="eastAsia"/>
                <w:sz w:val="24"/>
                <w:szCs w:val="24"/>
              </w:rPr>
              <w:t xml:space="preserve">., </w:t>
            </w:r>
            <w:r w:rsidRPr="003B4DCA">
              <w:rPr>
                <w:sz w:val="24"/>
                <w:szCs w:val="24"/>
              </w:rPr>
              <w:t>Oxford University Press</w:t>
            </w:r>
            <w:r w:rsidRPr="003B4DCA">
              <w:rPr>
                <w:rFonts w:hint="eastAsia"/>
                <w:sz w:val="24"/>
                <w:szCs w:val="24"/>
              </w:rPr>
              <w:t>, 2001.</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複變數</w:t>
            </w:r>
          </w:p>
        </w:tc>
        <w:tc>
          <w:tcPr>
            <w:tcW w:w="8047" w:type="dxa"/>
            <w:shd w:val="clear" w:color="auto" w:fill="auto"/>
          </w:tcPr>
          <w:p w:rsidR="003B4DCA" w:rsidRPr="003B4DCA" w:rsidRDefault="003B4DCA" w:rsidP="007E46D7">
            <w:pPr>
              <w:spacing w:after="0" w:line="240" w:lineRule="auto"/>
              <w:rPr>
                <w:sz w:val="24"/>
                <w:szCs w:val="24"/>
              </w:rPr>
            </w:pPr>
            <w:r w:rsidRPr="003B4DCA">
              <w:rPr>
                <w:sz w:val="24"/>
                <w:szCs w:val="24"/>
              </w:rPr>
              <w:t>Dannis G.</w:t>
            </w:r>
            <w:r w:rsidRPr="003B4DCA">
              <w:rPr>
                <w:rFonts w:hint="eastAsia"/>
                <w:sz w:val="24"/>
                <w:szCs w:val="24"/>
              </w:rPr>
              <w:t xml:space="preserve"> </w:t>
            </w:r>
            <w:r w:rsidRPr="003B4DCA">
              <w:rPr>
                <w:sz w:val="24"/>
                <w:szCs w:val="24"/>
              </w:rPr>
              <w:t>Zill</w:t>
            </w:r>
            <w:r w:rsidRPr="003B4DCA">
              <w:rPr>
                <w:rFonts w:hint="eastAsia"/>
                <w:sz w:val="24"/>
                <w:szCs w:val="24"/>
              </w:rPr>
              <w:t xml:space="preserve"> and </w:t>
            </w:r>
            <w:r w:rsidRPr="003B4DCA">
              <w:rPr>
                <w:sz w:val="24"/>
                <w:szCs w:val="24"/>
              </w:rPr>
              <w:t>Patrick D.</w:t>
            </w:r>
            <w:r w:rsidRPr="003B4DCA">
              <w:rPr>
                <w:rFonts w:hint="eastAsia"/>
                <w:sz w:val="24"/>
                <w:szCs w:val="24"/>
              </w:rPr>
              <w:t xml:space="preserve"> </w:t>
            </w:r>
            <w:r w:rsidRPr="003B4DCA">
              <w:rPr>
                <w:sz w:val="24"/>
                <w:szCs w:val="24"/>
              </w:rPr>
              <w:t xml:space="preserve">Shanahan, </w:t>
            </w:r>
            <w:r w:rsidRPr="003B4DCA">
              <w:rPr>
                <w:i/>
                <w:sz w:val="24"/>
                <w:szCs w:val="24"/>
              </w:rPr>
              <w:t>A First Course in Complex Analysis with Applications</w:t>
            </w:r>
            <w:r w:rsidRPr="003B4DCA">
              <w:rPr>
                <w:sz w:val="24"/>
                <w:szCs w:val="24"/>
              </w:rPr>
              <w:t>,</w:t>
            </w:r>
            <w:r w:rsidRPr="003B4DCA">
              <w:rPr>
                <w:rFonts w:hint="eastAsia"/>
                <w:sz w:val="24"/>
                <w:szCs w:val="24"/>
              </w:rPr>
              <w:t xml:space="preserve"> 2nd</w:t>
            </w:r>
            <w:r w:rsidRPr="003B4DCA">
              <w:rPr>
                <w:sz w:val="24"/>
                <w:szCs w:val="24"/>
              </w:rPr>
              <w:t xml:space="preserve"> </w:t>
            </w:r>
            <w:r w:rsidRPr="003B4DCA">
              <w:rPr>
                <w:rFonts w:hint="eastAsia"/>
                <w:sz w:val="24"/>
                <w:szCs w:val="24"/>
              </w:rPr>
              <w:t>e</w:t>
            </w:r>
            <w:r w:rsidRPr="003B4DCA">
              <w:rPr>
                <w:sz w:val="24"/>
                <w:szCs w:val="24"/>
              </w:rPr>
              <w:t>d</w:t>
            </w:r>
            <w:r w:rsidRPr="003B4DCA">
              <w:rPr>
                <w:rFonts w:hint="eastAsia"/>
                <w:sz w:val="24"/>
                <w:szCs w:val="24"/>
              </w:rPr>
              <w:t xml:space="preserve">., </w:t>
            </w:r>
            <w:r w:rsidRPr="003B4DCA">
              <w:rPr>
                <w:sz w:val="24"/>
                <w:szCs w:val="24"/>
              </w:rPr>
              <w:t>Jones &amp; Bartlett Publishers</w:t>
            </w:r>
            <w:r w:rsidRPr="003B4DCA">
              <w:rPr>
                <w:rFonts w:hint="eastAsia"/>
                <w:sz w:val="24"/>
                <w:szCs w:val="24"/>
              </w:rPr>
              <w:t>, 20</w:t>
            </w:r>
            <w:r w:rsidRPr="003B4DCA">
              <w:rPr>
                <w:sz w:val="24"/>
                <w:szCs w:val="24"/>
              </w:rPr>
              <w:t>09</w:t>
            </w:r>
            <w:r w:rsidRPr="003B4DCA">
              <w:rPr>
                <w:rFonts w:hint="eastAsia"/>
                <w:sz w:val="24"/>
                <w:szCs w:val="24"/>
              </w:rPr>
              <w:t>.</w:t>
            </w:r>
            <w:r w:rsidRPr="003B4DCA">
              <w:rPr>
                <w:rFonts w:hAnsi="標楷體"/>
                <w:sz w:val="24"/>
                <w:szCs w:val="24"/>
              </w:rPr>
              <w:t>（滄海代理）</w:t>
            </w:r>
          </w:p>
        </w:tc>
      </w:tr>
    </w:tbl>
    <w:p w:rsidR="003B4DCA" w:rsidRPr="00C05079" w:rsidRDefault="003B4DCA" w:rsidP="003B4DCA">
      <w:pPr>
        <w:ind w:leftChars="-202" w:left="-446" w:hangingChars="50" w:hanging="120"/>
      </w:pPr>
      <w:r w:rsidRPr="005A1D95">
        <w:rPr>
          <w:sz w:val="24"/>
          <w:szCs w:val="24"/>
        </w:rPr>
        <w:t>*</w:t>
      </w:r>
      <w:r w:rsidRPr="005A1D95">
        <w:rPr>
          <w:rFonts w:hAnsi="標楷體"/>
          <w:sz w:val="24"/>
          <w:szCs w:val="24"/>
        </w:rPr>
        <w:t>修正內容，應於每學年度下學期資格考後至</w:t>
      </w:r>
      <w:smartTag w:uri="urn:schemas-microsoft-com:office:smarttags" w:element="chsdate">
        <w:smartTagPr>
          <w:attr w:name="IsROCDate" w:val="False"/>
          <w:attr w:name="IsLunarDate" w:val="False"/>
          <w:attr w:name="Day" w:val="30"/>
          <w:attr w:name="Month" w:val="6"/>
          <w:attr w:name="Year" w:val="2009"/>
        </w:smartTagPr>
        <w:r w:rsidRPr="005A1D95">
          <w:rPr>
            <w:sz w:val="24"/>
            <w:szCs w:val="24"/>
          </w:rPr>
          <w:t>6</w:t>
        </w:r>
        <w:r w:rsidRPr="005A1D95">
          <w:rPr>
            <w:rFonts w:hAnsi="標楷體"/>
            <w:sz w:val="24"/>
            <w:szCs w:val="24"/>
          </w:rPr>
          <w:t>月</w:t>
        </w:r>
        <w:r w:rsidRPr="005A1D95">
          <w:rPr>
            <w:sz w:val="24"/>
            <w:szCs w:val="24"/>
          </w:rPr>
          <w:t>30</w:t>
        </w:r>
        <w:r w:rsidRPr="005A1D95">
          <w:rPr>
            <w:rFonts w:hAnsi="標楷體"/>
            <w:sz w:val="24"/>
            <w:szCs w:val="24"/>
          </w:rPr>
          <w:t>日</w:t>
        </w:r>
      </w:smartTag>
      <w:r w:rsidRPr="005A1D95">
        <w:rPr>
          <w:rFonts w:hAnsi="標楷體"/>
          <w:sz w:val="24"/>
          <w:szCs w:val="24"/>
        </w:rPr>
        <w:t>止，於電通系系務會議通過並公告。</w:t>
      </w:r>
    </w:p>
    <w:p w:rsidR="00BF62B5" w:rsidRPr="003B4DCA" w:rsidRDefault="00BF62B5"/>
    <w:sectPr w:rsidR="00BF62B5" w:rsidRPr="003B4DCA" w:rsidSect="003B4DCA">
      <w:pgSz w:w="11906" w:h="16838"/>
      <w:pgMar w:top="993" w:right="707"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6A" w:rsidRDefault="00F8596A" w:rsidP="003220E0">
      <w:pPr>
        <w:spacing w:after="0" w:line="240" w:lineRule="auto"/>
      </w:pPr>
      <w:r>
        <w:separator/>
      </w:r>
    </w:p>
  </w:endnote>
  <w:endnote w:type="continuationSeparator" w:id="0">
    <w:p w:rsidR="00F8596A" w:rsidRDefault="00F8596A" w:rsidP="0032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6A" w:rsidRDefault="00F8596A" w:rsidP="003220E0">
      <w:pPr>
        <w:spacing w:after="0" w:line="240" w:lineRule="auto"/>
      </w:pPr>
      <w:r>
        <w:separator/>
      </w:r>
    </w:p>
  </w:footnote>
  <w:footnote w:type="continuationSeparator" w:id="0">
    <w:p w:rsidR="00F8596A" w:rsidRDefault="00F8596A" w:rsidP="00322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C1"/>
    <w:rsid w:val="00093436"/>
    <w:rsid w:val="000B26C1"/>
    <w:rsid w:val="001864BD"/>
    <w:rsid w:val="003220E0"/>
    <w:rsid w:val="003913F3"/>
    <w:rsid w:val="003B4DCA"/>
    <w:rsid w:val="00410D92"/>
    <w:rsid w:val="00485BF7"/>
    <w:rsid w:val="004D7D3C"/>
    <w:rsid w:val="00513862"/>
    <w:rsid w:val="005A6893"/>
    <w:rsid w:val="005E4880"/>
    <w:rsid w:val="006C0752"/>
    <w:rsid w:val="00A121AE"/>
    <w:rsid w:val="00B60439"/>
    <w:rsid w:val="00BF55A0"/>
    <w:rsid w:val="00BF62B5"/>
    <w:rsid w:val="00C322EE"/>
    <w:rsid w:val="00CA53B6"/>
    <w:rsid w:val="00CC5A3E"/>
    <w:rsid w:val="00EB473E"/>
    <w:rsid w:val="00ED3C32"/>
    <w:rsid w:val="00F8340F"/>
    <w:rsid w:val="00F8596A"/>
    <w:rsid w:val="00F8685B"/>
    <w:rsid w:val="00FD2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4A987625"/>
  <w15:chartTrackingRefBased/>
  <w15:docId w15:val="{DEA0C696-4CDB-421C-BE05-4908E6D6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26C1"/>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0E0"/>
    <w:pPr>
      <w:tabs>
        <w:tab w:val="center" w:pos="4153"/>
        <w:tab w:val="right" w:pos="8306"/>
      </w:tabs>
    </w:pPr>
    <w:rPr>
      <w:sz w:val="20"/>
    </w:rPr>
  </w:style>
  <w:style w:type="character" w:customStyle="1" w:styleId="a4">
    <w:name w:val="頁首 字元"/>
    <w:basedOn w:val="a0"/>
    <w:link w:val="a3"/>
    <w:uiPriority w:val="99"/>
    <w:rsid w:val="003220E0"/>
    <w:rPr>
      <w:rFonts w:ascii="Times New Roman" w:eastAsia="標楷體" w:hAnsi="Times New Roman" w:cs="Times New Roman"/>
      <w:sz w:val="20"/>
      <w:szCs w:val="20"/>
    </w:rPr>
  </w:style>
  <w:style w:type="paragraph" w:styleId="a5">
    <w:name w:val="footer"/>
    <w:basedOn w:val="a"/>
    <w:link w:val="a6"/>
    <w:uiPriority w:val="99"/>
    <w:unhideWhenUsed/>
    <w:rsid w:val="003220E0"/>
    <w:pPr>
      <w:tabs>
        <w:tab w:val="center" w:pos="4153"/>
        <w:tab w:val="right" w:pos="8306"/>
      </w:tabs>
    </w:pPr>
    <w:rPr>
      <w:sz w:val="20"/>
    </w:rPr>
  </w:style>
  <w:style w:type="character" w:customStyle="1" w:styleId="a6">
    <w:name w:val="頁尾 字元"/>
    <w:basedOn w:val="a0"/>
    <w:link w:val="a5"/>
    <w:uiPriority w:val="99"/>
    <w:rsid w:val="003220E0"/>
    <w:rPr>
      <w:rFonts w:ascii="Times New Roman" w:eastAsia="標楷體" w:hAnsi="Times New Roman" w:cs="Times New Roman"/>
      <w:sz w:val="20"/>
      <w:szCs w:val="20"/>
    </w:rPr>
  </w:style>
  <w:style w:type="character" w:customStyle="1" w:styleId="ptbrand4">
    <w:name w:val="ptbrand4"/>
    <w:rsid w:val="003B4D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3?%5Fencoding=UTF8&amp;search-type=ss&amp;index=books&amp;field-author=Susan%20Anderson-Freed" TargetMode="External"/><Relationship Id="rId3" Type="http://schemas.openxmlformats.org/officeDocument/2006/relationships/webSettings" Target="webSettings.xml"/><Relationship Id="rId7" Type="http://schemas.openxmlformats.org/officeDocument/2006/relationships/hyperlink" Target="http://www.amazon.com/exec/obidos/search-handle-url/ref=ntt_athr_dp_sr_2?%5Fencoding=UTF8&amp;search-type=ss&amp;index=books&amp;field-author=Sartaj%20Sah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search-handle-url/ref=ntt_athr_dp_sr_1?%5Fencoding=UTF8&amp;search-type=ss&amp;index=books&amp;field-author=Ellis%20Horowit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dc:creator>
  <cp:keywords/>
  <dc:description/>
  <cp:lastModifiedBy>琮恩 吳</cp:lastModifiedBy>
  <cp:revision>8</cp:revision>
  <dcterms:created xsi:type="dcterms:W3CDTF">2017-12-28T06:59:00Z</dcterms:created>
  <dcterms:modified xsi:type="dcterms:W3CDTF">2020-06-19T10:12:00Z</dcterms:modified>
</cp:coreProperties>
</file>